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A3FA87" w14:textId="364A63C7" w:rsidR="00503DE1" w:rsidRDefault="00503DE1" w:rsidP="00503DE1">
      <w:pPr>
        <w:pStyle w:val="3GPPHeader"/>
        <w:spacing w:after="60"/>
        <w:rPr>
          <w:sz w:val="32"/>
          <w:szCs w:val="32"/>
          <w:highlight w:val="yellow"/>
        </w:rPr>
      </w:pPr>
      <w:r>
        <w:t>3GPP TSG-RAN WG2 #123-bis</w:t>
      </w:r>
      <w:r>
        <w:tab/>
      </w:r>
      <w:r w:rsidR="008024F5" w:rsidRPr="008024F5">
        <w:t>R2-2311200</w:t>
      </w:r>
    </w:p>
    <w:p w14:paraId="6DCED1D3" w14:textId="77777777" w:rsidR="00503DE1" w:rsidRDefault="00503DE1" w:rsidP="00503DE1">
      <w:pPr>
        <w:pStyle w:val="3GPPHeader"/>
      </w:pPr>
      <w:r>
        <w:t>Xiamen, P.R. China, October 9</w:t>
      </w:r>
      <w:r>
        <w:rPr>
          <w:vertAlign w:val="superscript"/>
        </w:rPr>
        <w:t>th</w:t>
      </w:r>
      <w:r>
        <w:t xml:space="preserve"> – 13</w:t>
      </w:r>
      <w:r>
        <w:rPr>
          <w:vertAlign w:val="superscript"/>
        </w:rPr>
        <w:t>th</w:t>
      </w:r>
      <w:r>
        <w:t xml:space="preserve"> 2023</w:t>
      </w:r>
    </w:p>
    <w:p w14:paraId="2AAF3D11" w14:textId="331FA97F" w:rsidR="00E90E49" w:rsidRPr="009B7070" w:rsidRDefault="00E90E49" w:rsidP="00311702">
      <w:pPr>
        <w:pStyle w:val="3GPPHeader"/>
        <w:rPr>
          <w:sz w:val="22"/>
          <w:szCs w:val="22"/>
          <w:lang w:val="en-US"/>
        </w:rPr>
      </w:pPr>
      <w:r w:rsidRPr="00053273">
        <w:rPr>
          <w:sz w:val="22"/>
          <w:szCs w:val="22"/>
          <w:lang w:val="en-US"/>
        </w:rPr>
        <w:t>Agenda Item:</w:t>
      </w:r>
      <w:r w:rsidRPr="00053273">
        <w:rPr>
          <w:sz w:val="22"/>
          <w:szCs w:val="22"/>
          <w:lang w:val="en-US"/>
        </w:rPr>
        <w:tab/>
      </w:r>
      <w:r w:rsidR="00784CF1" w:rsidRPr="00B73479">
        <w:rPr>
          <w:sz w:val="22"/>
          <w:szCs w:val="22"/>
          <w:lang w:val="en-US"/>
        </w:rPr>
        <w:t>7</w:t>
      </w:r>
      <w:r w:rsidR="00033A3C" w:rsidRPr="00B73479">
        <w:rPr>
          <w:sz w:val="22"/>
          <w:szCs w:val="22"/>
          <w:lang w:val="en-US"/>
        </w:rPr>
        <w:t>.1</w:t>
      </w:r>
      <w:r w:rsidR="006F0051" w:rsidRPr="00B73479">
        <w:rPr>
          <w:sz w:val="22"/>
          <w:szCs w:val="22"/>
          <w:lang w:val="en-US"/>
        </w:rPr>
        <w:t>3.</w:t>
      </w:r>
      <w:r w:rsidR="0088260A" w:rsidRPr="00B73479">
        <w:rPr>
          <w:sz w:val="22"/>
          <w:szCs w:val="22"/>
          <w:lang w:val="en-US"/>
        </w:rPr>
        <w:t>5</w:t>
      </w:r>
    </w:p>
    <w:p w14:paraId="1FC680E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4CF671" w14:textId="17FDB439" w:rsidR="00E90E49" w:rsidRPr="00CE0424" w:rsidRDefault="003D3C45" w:rsidP="00311702">
      <w:pPr>
        <w:pStyle w:val="3GPPHeader"/>
        <w:rPr>
          <w:sz w:val="22"/>
          <w:szCs w:val="22"/>
        </w:rPr>
      </w:pPr>
      <w:r w:rsidRPr="00053273">
        <w:rPr>
          <w:sz w:val="22"/>
          <w:szCs w:val="22"/>
        </w:rPr>
        <w:t>Title:</w:t>
      </w:r>
      <w:r w:rsidR="00E90E49" w:rsidRPr="00053273">
        <w:rPr>
          <w:sz w:val="22"/>
          <w:szCs w:val="22"/>
        </w:rPr>
        <w:tab/>
      </w:r>
      <w:r w:rsidR="00525BDE">
        <w:rPr>
          <w:sz w:val="22"/>
          <w:szCs w:val="22"/>
        </w:rPr>
        <w:t>Enhancements of</w:t>
      </w:r>
      <w:r w:rsidR="001D6017">
        <w:rPr>
          <w:sz w:val="22"/>
          <w:szCs w:val="22"/>
        </w:rPr>
        <w:t xml:space="preserve"> SON</w:t>
      </w:r>
      <w:r w:rsidR="00525BDE">
        <w:rPr>
          <w:sz w:val="22"/>
          <w:szCs w:val="22"/>
        </w:rPr>
        <w:t xml:space="preserve"> reports </w:t>
      </w:r>
      <w:r w:rsidR="0077714F">
        <w:rPr>
          <w:sz w:val="22"/>
          <w:szCs w:val="22"/>
        </w:rPr>
        <w:t>for NR-U</w:t>
      </w:r>
    </w:p>
    <w:p w14:paraId="2C970792"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F20FA7">
        <w:rPr>
          <w:sz w:val="22"/>
          <w:szCs w:val="22"/>
        </w:rPr>
        <w:t>Discussion, Decision</w:t>
      </w:r>
    </w:p>
    <w:p w14:paraId="729CF537" w14:textId="77777777" w:rsidR="0092555C" w:rsidRPr="00CE0424" w:rsidRDefault="0092555C" w:rsidP="0092555C">
      <w:pPr>
        <w:pStyle w:val="Heading1"/>
      </w:pPr>
      <w:r>
        <w:t>1</w:t>
      </w:r>
      <w:r>
        <w:tab/>
      </w:r>
      <w:r w:rsidRPr="00CE0424">
        <w:t>Introduction</w:t>
      </w:r>
    </w:p>
    <w:p w14:paraId="4F5C2C21" w14:textId="1AF9BFCF" w:rsidR="003163AD" w:rsidRDefault="003163AD" w:rsidP="00CE0424">
      <w:pPr>
        <w:pStyle w:val="BodyText"/>
      </w:pPr>
      <w:r>
        <w:t xml:space="preserve">Given the progress in RAN2#123, only few open issues are left to be discussed in </w:t>
      </w:r>
      <w:r w:rsidR="00E34B02">
        <w:t>the context of NR-U</w:t>
      </w:r>
      <w:r w:rsidR="006C1DA3">
        <w:t>.</w:t>
      </w:r>
    </w:p>
    <w:p w14:paraId="076EF699" w14:textId="6F5031CF" w:rsidR="002654AD" w:rsidRPr="00583002" w:rsidRDefault="00D9769A" w:rsidP="00AA36BC">
      <w:pPr>
        <w:pStyle w:val="BodyText"/>
      </w:pPr>
      <w:r>
        <w:t xml:space="preserve">In this paper, </w:t>
      </w:r>
      <w:r w:rsidR="00AA36BC">
        <w:t xml:space="preserve">we discuss those few open issues that are partially addressed also in the email discussion </w:t>
      </w:r>
      <w:r w:rsidR="002654AD">
        <w:rPr>
          <w:color w:val="000000"/>
        </w:rPr>
        <w:t>[Post122][590][R18 SONMDT] Open issues of SON NR-U (Ericsson)</w:t>
      </w:r>
      <w:r w:rsidR="00860261">
        <w:t>.</w:t>
      </w:r>
    </w:p>
    <w:p w14:paraId="1E4138C6" w14:textId="56B393BC" w:rsidR="00B235F9" w:rsidRPr="00C90173" w:rsidRDefault="00230D18" w:rsidP="00C90173">
      <w:pPr>
        <w:pStyle w:val="Heading1"/>
      </w:pPr>
      <w:bookmarkStart w:id="0" w:name="_Ref178064866"/>
      <w:r>
        <w:t>2</w:t>
      </w:r>
      <w:r>
        <w:tab/>
      </w:r>
      <w:r w:rsidR="004000E8" w:rsidRPr="00CE0424">
        <w:t>Discussion</w:t>
      </w:r>
      <w:bookmarkEnd w:id="0"/>
    </w:p>
    <w:p w14:paraId="117F060A" w14:textId="326CAEFE" w:rsidR="00AE75AC" w:rsidRDefault="00AE75AC" w:rsidP="00AE75AC">
      <w:pPr>
        <w:pStyle w:val="Heading3"/>
        <w:rPr>
          <w:lang w:val="en-US"/>
        </w:rPr>
      </w:pPr>
      <w:r>
        <w:rPr>
          <w:lang w:val="en-US"/>
        </w:rPr>
        <w:t>2.1 Enhancements to the RA-Information</w:t>
      </w:r>
      <w:r w:rsidR="00941334">
        <w:rPr>
          <w:lang w:val="en-US"/>
        </w:rPr>
        <w:t>Common</w:t>
      </w:r>
    </w:p>
    <w:p w14:paraId="1B495744" w14:textId="1E07106A" w:rsidR="002E6B7B" w:rsidRDefault="002E6B7B" w:rsidP="002E6B7B">
      <w:pPr>
        <w:spacing w:line="259" w:lineRule="auto"/>
        <w:rPr>
          <w:rFonts w:ascii="Arial" w:hAnsi="Arial" w:cs="Arial"/>
          <w:lang w:val="en-US" w:eastAsia="zh-CN"/>
        </w:rPr>
      </w:pPr>
      <w:r>
        <w:rPr>
          <w:rFonts w:ascii="Arial" w:hAnsi="Arial" w:cs="Arial"/>
          <w:lang w:val="en-US"/>
        </w:rPr>
        <w:t>The first issue to be addressed on the RA-InformationCommon</w:t>
      </w:r>
      <w:r>
        <w:rPr>
          <w:rFonts w:ascii="Arial" w:hAnsi="Arial" w:cs="Arial"/>
          <w:lang w:val="en-US" w:eastAsia="zh-CN"/>
        </w:rPr>
        <w:t xml:space="preserve"> is related to the following agreement:</w:t>
      </w:r>
    </w:p>
    <w:p w14:paraId="67A57B0E" w14:textId="77777777" w:rsidR="002E6B7B" w:rsidRDefault="002E6B7B" w:rsidP="002E6B7B">
      <w:pPr>
        <w:pStyle w:val="Doc-text2"/>
        <w:pBdr>
          <w:top w:val="single" w:sz="4" w:space="1" w:color="auto"/>
          <w:left w:val="single" w:sz="4" w:space="4" w:color="auto"/>
          <w:bottom w:val="single" w:sz="4" w:space="1" w:color="auto"/>
          <w:right w:val="single" w:sz="4" w:space="4" w:color="auto"/>
        </w:pBdr>
        <w:rPr>
          <w:rFonts w:eastAsia="DengXian"/>
          <w:b/>
          <w:bCs/>
          <w:u w:val="single"/>
          <w:lang w:val="en-US"/>
        </w:rPr>
      </w:pPr>
      <w:r>
        <w:rPr>
          <w:rFonts w:eastAsia="DengXian"/>
          <w:b/>
          <w:bCs/>
          <w:u w:val="single"/>
          <w:lang w:val="en-US"/>
        </w:rPr>
        <w:t>From RAN2#122:</w:t>
      </w:r>
    </w:p>
    <w:p w14:paraId="526EC07F" w14:textId="77777777" w:rsidR="002E6B7B" w:rsidRDefault="002E6B7B" w:rsidP="002E6B7B">
      <w:pPr>
        <w:pStyle w:val="Doc-text2"/>
        <w:pBdr>
          <w:top w:val="single" w:sz="4" w:space="1" w:color="auto"/>
          <w:left w:val="single" w:sz="4" w:space="4" w:color="auto"/>
          <w:bottom w:val="single" w:sz="4" w:space="1" w:color="auto"/>
          <w:right w:val="single" w:sz="4" w:space="4" w:color="auto"/>
        </w:pBdr>
        <w:rPr>
          <w:rFonts w:eastAsia="DengXian"/>
          <w:lang w:val="en-US"/>
        </w:rPr>
      </w:pPr>
    </w:p>
    <w:p w14:paraId="7DDB9E00" w14:textId="77777777" w:rsidR="002E6B7B" w:rsidRDefault="002E6B7B" w:rsidP="002E6B7B">
      <w:pPr>
        <w:pStyle w:val="Doc-text2"/>
        <w:pBdr>
          <w:top w:val="single" w:sz="4" w:space="1" w:color="auto"/>
          <w:left w:val="single" w:sz="4" w:space="4" w:color="auto"/>
          <w:bottom w:val="single" w:sz="4" w:space="1" w:color="auto"/>
          <w:right w:val="single" w:sz="4" w:space="4" w:color="auto"/>
        </w:pBdr>
        <w:rPr>
          <w:lang w:val="en-US"/>
        </w:rPr>
      </w:pPr>
      <w:r>
        <w:rPr>
          <w:rFonts w:eastAsia="DengXian"/>
          <w:lang w:val="en-US"/>
        </w:rPr>
        <w:tab/>
      </w:r>
      <w:r>
        <w:rPr>
          <w:lang w:val="en-US"/>
        </w:rPr>
        <w:t xml:space="preserve">On how to represent the preamble transmission attempts blocked by LBT, </w:t>
      </w:r>
    </w:p>
    <w:p w14:paraId="6D496C58" w14:textId="77777777" w:rsidR="002E6B7B" w:rsidRDefault="002E6B7B" w:rsidP="002E6B7B">
      <w:pPr>
        <w:pStyle w:val="Doc-text2"/>
        <w:pBdr>
          <w:top w:val="single" w:sz="4" w:space="1" w:color="auto"/>
          <w:left w:val="single" w:sz="4" w:space="4" w:color="auto"/>
          <w:bottom w:val="single" w:sz="4" w:space="1" w:color="auto"/>
          <w:right w:val="single" w:sz="4" w:space="4" w:color="auto"/>
        </w:pBdr>
        <w:rPr>
          <w:lang w:val="en-US"/>
        </w:rPr>
      </w:pPr>
      <w:r>
        <w:rPr>
          <w:lang w:val="en-US"/>
        </w:rPr>
        <w:tab/>
      </w:r>
      <w:r>
        <w:rPr>
          <w:highlight w:val="green"/>
          <w:lang w:val="en-US"/>
        </w:rPr>
        <w:t>Introduce a field (or reusing the existing field)</w:t>
      </w:r>
      <w:r>
        <w:rPr>
          <w:lang w:val="en-US"/>
        </w:rPr>
        <w:t xml:space="preserve"> that counts the number of preamble transmissions blocked by LBT per RA procedure, and a flag indicating transmission failures experienced right before beam switching. Details can FFS.</w:t>
      </w:r>
    </w:p>
    <w:p w14:paraId="34CE6009" w14:textId="77777777" w:rsidR="002E6B7B" w:rsidRDefault="002E6B7B" w:rsidP="002E6B7B">
      <w:pPr>
        <w:spacing w:line="259" w:lineRule="auto"/>
        <w:rPr>
          <w:rFonts w:ascii="Arial" w:hAnsi="Arial" w:cs="Arial"/>
          <w:lang w:val="en-US" w:eastAsia="zh-CN"/>
        </w:rPr>
      </w:pPr>
    </w:p>
    <w:p w14:paraId="4F499489" w14:textId="192F9975" w:rsidR="005F59D0" w:rsidRDefault="00E26BA8" w:rsidP="00BD0A4F">
      <w:pPr>
        <w:spacing w:line="259" w:lineRule="auto"/>
        <w:rPr>
          <w:rFonts w:ascii="Arial" w:hAnsi="Arial" w:cs="Arial"/>
          <w:lang w:val="en-US"/>
        </w:rPr>
      </w:pPr>
      <w:r>
        <w:rPr>
          <w:rFonts w:ascii="Arial" w:hAnsi="Arial" w:cs="Arial"/>
          <w:lang w:val="en-US"/>
        </w:rPr>
        <w:t>It was discussed whether t</w:t>
      </w:r>
      <w:r w:rsidR="002E6B7B">
        <w:rPr>
          <w:rFonts w:ascii="Arial" w:hAnsi="Arial" w:cs="Arial"/>
          <w:lang w:val="en-US"/>
        </w:rPr>
        <w:t xml:space="preserve">he </w:t>
      </w:r>
      <w:r>
        <w:rPr>
          <w:rFonts w:ascii="Arial" w:hAnsi="Arial" w:cs="Arial"/>
          <w:lang w:val="en-US"/>
        </w:rPr>
        <w:t xml:space="preserve">number of </w:t>
      </w:r>
      <w:r w:rsidR="002E6B7B">
        <w:rPr>
          <w:rFonts w:ascii="Arial" w:hAnsi="Arial" w:cs="Arial"/>
          <w:lang w:val="en-US"/>
        </w:rPr>
        <w:t xml:space="preserve">preamble transmissions </w:t>
      </w:r>
      <w:r w:rsidR="008A2F69">
        <w:rPr>
          <w:rFonts w:ascii="Arial" w:hAnsi="Arial" w:cs="Arial"/>
          <w:lang w:val="en-US"/>
        </w:rPr>
        <w:t xml:space="preserve">should be represented by a new field, or if some existing field can be reused. Related to the latter approach, it was proposed that the </w:t>
      </w:r>
      <w:r w:rsidR="006F481F">
        <w:rPr>
          <w:rFonts w:ascii="Arial" w:hAnsi="Arial" w:cs="Arial"/>
          <w:lang w:val="en-US"/>
        </w:rPr>
        <w:t>fields numberOfPreamblesSentOnSSB</w:t>
      </w:r>
      <w:r w:rsidR="006F481F">
        <w:rPr>
          <w:rFonts w:ascii="Arial" w:hAnsi="Arial" w:cs="Arial" w:hint="eastAsia"/>
          <w:lang w:val="en-US"/>
        </w:rPr>
        <w:t xml:space="preserve"> and </w:t>
      </w:r>
      <w:r w:rsidR="006F481F">
        <w:rPr>
          <w:rFonts w:ascii="Arial" w:hAnsi="Arial" w:cs="Arial"/>
          <w:lang w:val="en-US"/>
        </w:rPr>
        <w:t>numberOfPreamblesSentO</w:t>
      </w:r>
      <w:r w:rsidR="006F481F">
        <w:rPr>
          <w:rFonts w:ascii="Arial" w:hAnsi="Arial" w:cs="Arial" w:hint="eastAsia"/>
          <w:lang w:val="en-US"/>
        </w:rPr>
        <w:t>nCSI-RS</w:t>
      </w:r>
      <w:r w:rsidR="006F481F">
        <w:rPr>
          <w:rFonts w:ascii="Arial" w:hAnsi="Arial" w:cs="Arial"/>
          <w:lang w:val="en-US"/>
        </w:rPr>
        <w:t xml:space="preserve"> could be modified, such that the</w:t>
      </w:r>
      <w:r w:rsidR="00BD0A4F">
        <w:rPr>
          <w:rFonts w:ascii="Arial" w:hAnsi="Arial" w:cs="Arial"/>
          <w:lang w:val="en-US"/>
        </w:rPr>
        <w:t>y account for all the preamble transmission attempts both the ones blocked by LBT and the successful ones. From our point of view</w:t>
      </w:r>
      <w:r w:rsidR="006F481F">
        <w:rPr>
          <w:rFonts w:ascii="Arial" w:hAnsi="Arial" w:cs="Arial"/>
          <w:lang w:val="en-US"/>
        </w:rPr>
        <w:t xml:space="preserve">, </w:t>
      </w:r>
      <w:r w:rsidR="00BD0A4F">
        <w:rPr>
          <w:rFonts w:ascii="Arial" w:hAnsi="Arial" w:cs="Arial"/>
          <w:lang w:val="en-US"/>
        </w:rPr>
        <w:t xml:space="preserve">the main problem of </w:t>
      </w:r>
      <w:r w:rsidR="006F481F">
        <w:rPr>
          <w:rFonts w:ascii="Arial" w:hAnsi="Arial" w:cs="Arial"/>
          <w:lang w:val="en-US"/>
        </w:rPr>
        <w:t xml:space="preserve">this option </w:t>
      </w:r>
      <w:r w:rsidR="00BD0A4F">
        <w:rPr>
          <w:rFonts w:ascii="Arial" w:hAnsi="Arial" w:cs="Arial"/>
          <w:lang w:val="en-US"/>
        </w:rPr>
        <w:t>is that currently the</w:t>
      </w:r>
      <w:r w:rsidR="006F481F">
        <w:rPr>
          <w:rFonts w:ascii="Arial" w:hAnsi="Arial" w:cs="Arial"/>
          <w:lang w:val="en-US"/>
        </w:rPr>
        <w:t xml:space="preserve"> </w:t>
      </w:r>
      <w:r w:rsidR="00BD0A4F">
        <w:rPr>
          <w:rFonts w:ascii="Arial" w:hAnsi="Arial" w:cs="Arial"/>
          <w:lang w:val="en-US"/>
        </w:rPr>
        <w:t xml:space="preserve">maximum  values for the </w:t>
      </w:r>
      <w:r w:rsidR="006F481F">
        <w:rPr>
          <w:rFonts w:ascii="Arial" w:hAnsi="Arial" w:cs="Arial"/>
          <w:lang w:val="en-US"/>
        </w:rPr>
        <w:t>numberOfPreamblesSentOnSSB</w:t>
      </w:r>
      <w:r w:rsidR="006F481F">
        <w:rPr>
          <w:rFonts w:ascii="Arial" w:hAnsi="Arial" w:cs="Arial" w:hint="eastAsia"/>
          <w:lang w:val="en-US"/>
        </w:rPr>
        <w:t xml:space="preserve"> and </w:t>
      </w:r>
      <w:r w:rsidR="006F481F">
        <w:rPr>
          <w:rFonts w:ascii="Arial" w:hAnsi="Arial" w:cs="Arial"/>
          <w:lang w:val="en-US"/>
        </w:rPr>
        <w:t>numberOfPreamblesSentO</w:t>
      </w:r>
      <w:r w:rsidR="006F481F">
        <w:rPr>
          <w:rFonts w:ascii="Arial" w:hAnsi="Arial" w:cs="Arial" w:hint="eastAsia"/>
          <w:lang w:val="en-US"/>
        </w:rPr>
        <w:t>nCSI-RS</w:t>
      </w:r>
      <w:r w:rsidR="006F481F">
        <w:rPr>
          <w:rFonts w:ascii="Arial" w:hAnsi="Arial" w:cs="Arial"/>
          <w:lang w:val="en-US"/>
        </w:rPr>
        <w:t xml:space="preserve"> is limited to 200</w:t>
      </w:r>
      <w:r w:rsidR="00BD0A4F">
        <w:rPr>
          <w:rFonts w:ascii="Arial" w:hAnsi="Arial" w:cs="Arial"/>
          <w:lang w:val="en-US"/>
        </w:rPr>
        <w:t>. This value</w:t>
      </w:r>
      <w:r w:rsidR="006F481F">
        <w:rPr>
          <w:rFonts w:ascii="Arial" w:hAnsi="Arial" w:cs="Arial"/>
          <w:lang w:val="en-US"/>
        </w:rPr>
        <w:t xml:space="preserve"> was dimensioned considering only the RA preambles actually transmitted. If now, this field also considers the preambles blocked by LBT, the total numberOfPreamblesSentOnSSB (numberOfPreamblesSentO</w:t>
      </w:r>
      <w:r w:rsidR="006F481F">
        <w:rPr>
          <w:rFonts w:ascii="Arial" w:hAnsi="Arial" w:cs="Arial" w:hint="eastAsia"/>
          <w:lang w:val="en-US"/>
        </w:rPr>
        <w:t>nCSI-RS</w:t>
      </w:r>
      <w:r w:rsidR="006F481F">
        <w:rPr>
          <w:rFonts w:ascii="Arial" w:hAnsi="Arial" w:cs="Arial"/>
          <w:lang w:val="en-US"/>
        </w:rPr>
        <w:t>) might exceed 200</w:t>
      </w:r>
      <w:r w:rsidR="00BD0A4F">
        <w:rPr>
          <w:rFonts w:ascii="Arial" w:hAnsi="Arial" w:cs="Arial"/>
          <w:lang w:val="en-US"/>
        </w:rPr>
        <w:t xml:space="preserve">. </w:t>
      </w:r>
      <w:r w:rsidR="00887F3A">
        <w:rPr>
          <w:rFonts w:ascii="Arial" w:hAnsi="Arial" w:cs="Arial"/>
          <w:lang w:val="en-US"/>
        </w:rPr>
        <w:t>In our view this should be avoided</w:t>
      </w:r>
      <w:r w:rsidR="005F59D0">
        <w:rPr>
          <w:rFonts w:ascii="Arial" w:hAnsi="Arial" w:cs="Arial"/>
          <w:lang w:val="en-US"/>
        </w:rPr>
        <w:t>, and the approach of introducing a new field is more robust from a technical perspective.</w:t>
      </w:r>
    </w:p>
    <w:p w14:paraId="03B419D1" w14:textId="0E309020" w:rsidR="005F59D0" w:rsidRDefault="00745DD1" w:rsidP="005F59D0">
      <w:pPr>
        <w:pStyle w:val="Proposal"/>
        <w:rPr>
          <w:lang w:val="en-US"/>
        </w:rPr>
      </w:pPr>
      <w:bookmarkStart w:id="1" w:name="_Toc146873889"/>
      <w:r w:rsidRPr="00FB4C34">
        <w:rPr>
          <w:lang w:val="en-US"/>
        </w:rPr>
        <w:t xml:space="preserve">A new field </w:t>
      </w:r>
      <w:r>
        <w:rPr>
          <w:lang w:val="en-US"/>
        </w:rPr>
        <w:t>is introduced to count the number of preamble transmissions blocked by LBT per RA procedure</w:t>
      </w:r>
      <w:r w:rsidR="00FB4C34">
        <w:rPr>
          <w:lang w:val="en-US"/>
        </w:rPr>
        <w:t>.</w:t>
      </w:r>
      <w:bookmarkEnd w:id="1"/>
    </w:p>
    <w:p w14:paraId="40193A2C" w14:textId="23B216C8" w:rsidR="00887F3A" w:rsidRDefault="00887F3A" w:rsidP="00BD0A4F">
      <w:pPr>
        <w:spacing w:line="259" w:lineRule="auto"/>
        <w:rPr>
          <w:rFonts w:ascii="Arial" w:hAnsi="Arial" w:cs="Arial"/>
          <w:lang w:val="en-US"/>
        </w:rPr>
      </w:pPr>
      <w:r>
        <w:rPr>
          <w:rFonts w:ascii="Arial" w:hAnsi="Arial" w:cs="Arial"/>
          <w:lang w:val="en-US"/>
        </w:rPr>
        <w:br/>
        <w:t>Proponents of th</w:t>
      </w:r>
      <w:r w:rsidR="00936EB1">
        <w:rPr>
          <w:rFonts w:ascii="Arial" w:hAnsi="Arial" w:cs="Arial"/>
          <w:lang w:val="en-US"/>
        </w:rPr>
        <w:t xml:space="preserve">e </w:t>
      </w:r>
      <w:r>
        <w:rPr>
          <w:rFonts w:ascii="Arial" w:hAnsi="Arial" w:cs="Arial"/>
          <w:lang w:val="en-US"/>
        </w:rPr>
        <w:t xml:space="preserve">approach </w:t>
      </w:r>
      <w:r w:rsidR="001D0208">
        <w:rPr>
          <w:rFonts w:ascii="Arial" w:hAnsi="Arial" w:cs="Arial"/>
          <w:lang w:val="en-US"/>
        </w:rPr>
        <w:t xml:space="preserve">of reusing existing fields </w:t>
      </w:r>
      <w:r>
        <w:rPr>
          <w:rFonts w:ascii="Arial" w:hAnsi="Arial" w:cs="Arial"/>
          <w:lang w:val="en-US"/>
        </w:rPr>
        <w:t xml:space="preserve">claim that </w:t>
      </w:r>
      <w:r w:rsidR="00FF45E5">
        <w:rPr>
          <w:rFonts w:ascii="Arial" w:hAnsi="Arial" w:cs="Arial"/>
          <w:lang w:val="en-US"/>
        </w:rPr>
        <w:t>an advantage of this approach is that the UE will always set the numberOfPreamblesSentOnSSB</w:t>
      </w:r>
      <w:r w:rsidR="00FF45E5">
        <w:rPr>
          <w:rFonts w:ascii="Arial" w:hAnsi="Arial" w:cs="Arial" w:hint="eastAsia"/>
          <w:lang w:val="en-US"/>
        </w:rPr>
        <w:t xml:space="preserve"> and </w:t>
      </w:r>
      <w:r w:rsidR="00FF45E5">
        <w:rPr>
          <w:rFonts w:ascii="Arial" w:hAnsi="Arial" w:cs="Arial"/>
          <w:lang w:val="en-US"/>
        </w:rPr>
        <w:t>numberOfPreamblesSentO</w:t>
      </w:r>
      <w:r w:rsidR="00FF45E5">
        <w:rPr>
          <w:rFonts w:ascii="Arial" w:hAnsi="Arial" w:cs="Arial" w:hint="eastAsia"/>
          <w:lang w:val="en-US"/>
        </w:rPr>
        <w:t>nCSI-RS</w:t>
      </w:r>
      <w:r w:rsidR="00545D93">
        <w:rPr>
          <w:rFonts w:ascii="Arial" w:hAnsi="Arial" w:cs="Arial"/>
          <w:lang w:val="en-US"/>
        </w:rPr>
        <w:t xml:space="preserve"> to a value. </w:t>
      </w:r>
      <w:r w:rsidR="00B4515A">
        <w:rPr>
          <w:rFonts w:ascii="Arial" w:hAnsi="Arial" w:cs="Arial"/>
          <w:lang w:val="en-US"/>
        </w:rPr>
        <w:t xml:space="preserve">Otherwise, there is the problem that </w:t>
      </w:r>
      <w:r w:rsidR="00545D93">
        <w:rPr>
          <w:rFonts w:ascii="Arial" w:hAnsi="Arial" w:cs="Arial"/>
          <w:lang w:val="en-US"/>
        </w:rPr>
        <w:t>numberOfPreamblesSentOnSSB</w:t>
      </w:r>
      <w:r w:rsidR="00545D93">
        <w:rPr>
          <w:rFonts w:ascii="Arial" w:hAnsi="Arial" w:cs="Arial" w:hint="eastAsia"/>
          <w:lang w:val="en-US"/>
        </w:rPr>
        <w:t xml:space="preserve"> and </w:t>
      </w:r>
      <w:r w:rsidR="00545D93">
        <w:rPr>
          <w:rFonts w:ascii="Arial" w:hAnsi="Arial" w:cs="Arial"/>
          <w:lang w:val="en-US"/>
        </w:rPr>
        <w:t>numberOfPreamblesSentO</w:t>
      </w:r>
      <w:r w:rsidR="00545D93">
        <w:rPr>
          <w:rFonts w:ascii="Arial" w:hAnsi="Arial" w:cs="Arial" w:hint="eastAsia"/>
          <w:lang w:val="en-US"/>
        </w:rPr>
        <w:t>nCSI-RS</w:t>
      </w:r>
      <w:r w:rsidR="00545D93">
        <w:rPr>
          <w:rFonts w:ascii="Arial" w:hAnsi="Arial" w:cs="Arial"/>
          <w:lang w:val="en-US"/>
        </w:rPr>
        <w:t xml:space="preserve"> are mandatory fields and cannot be set to 0</w:t>
      </w:r>
      <w:r w:rsidR="005C3E17">
        <w:rPr>
          <w:rFonts w:ascii="Arial" w:hAnsi="Arial" w:cs="Arial"/>
          <w:lang w:val="en-US"/>
        </w:rPr>
        <w:t xml:space="preserve">, which could happen in case </w:t>
      </w:r>
      <w:r w:rsidR="002737C8">
        <w:rPr>
          <w:rFonts w:ascii="Arial" w:hAnsi="Arial" w:cs="Arial"/>
          <w:lang w:val="en-US"/>
        </w:rPr>
        <w:t>of no preamble transmitted in an SSB</w:t>
      </w:r>
      <w:r w:rsidR="00545D93">
        <w:rPr>
          <w:rFonts w:ascii="Arial" w:hAnsi="Arial" w:cs="Arial"/>
          <w:lang w:val="en-US"/>
        </w:rPr>
        <w:t xml:space="preserve">. However, we note that the same issue affects also the </w:t>
      </w:r>
      <w:r w:rsidR="005B1B46" w:rsidRPr="004A78F1">
        <w:rPr>
          <w:rFonts w:ascii="Arial" w:hAnsi="Arial" w:cs="Arial"/>
          <w:lang w:val="en-US"/>
        </w:rPr>
        <w:t xml:space="preserve">perRAAttemptInfoList that should be always set. We note </w:t>
      </w:r>
      <w:r w:rsidR="007738E0" w:rsidRPr="004A78F1">
        <w:rPr>
          <w:rFonts w:ascii="Arial" w:hAnsi="Arial" w:cs="Arial"/>
          <w:lang w:val="en-US"/>
        </w:rPr>
        <w:t xml:space="preserve">that </w:t>
      </w:r>
      <w:r w:rsidR="005B1B46" w:rsidRPr="004A78F1">
        <w:rPr>
          <w:rFonts w:ascii="Arial" w:hAnsi="Arial" w:cs="Arial"/>
          <w:lang w:val="en-US"/>
        </w:rPr>
        <w:t>leaving empty the</w:t>
      </w:r>
      <w:r w:rsidR="00A05F90" w:rsidRPr="004A78F1">
        <w:rPr>
          <w:rFonts w:ascii="Arial" w:hAnsi="Arial" w:cs="Arial"/>
          <w:lang w:val="en-US"/>
        </w:rPr>
        <w:t xml:space="preserve"> entry of the</w:t>
      </w:r>
      <w:r w:rsidR="005B1B46" w:rsidRPr="004A78F1">
        <w:rPr>
          <w:rFonts w:ascii="Arial" w:hAnsi="Arial" w:cs="Arial"/>
          <w:lang w:val="en-US"/>
        </w:rPr>
        <w:t xml:space="preserve"> perRAAttemptInfoList (i.e. avoid setting the fields in perRAAttemptInfoList)</w:t>
      </w:r>
      <w:r w:rsidR="007738E0" w:rsidRPr="004A78F1">
        <w:rPr>
          <w:rFonts w:ascii="Arial" w:hAnsi="Arial" w:cs="Arial"/>
          <w:lang w:val="en-US"/>
        </w:rPr>
        <w:t xml:space="preserve"> cannot be a viable solution, because </w:t>
      </w:r>
      <w:r w:rsidR="00A05F90" w:rsidRPr="004A78F1">
        <w:rPr>
          <w:rFonts w:ascii="Arial" w:hAnsi="Arial" w:cs="Arial"/>
          <w:lang w:val="en-US"/>
        </w:rPr>
        <w:t xml:space="preserve">there are other scenarios in which </w:t>
      </w:r>
      <w:r w:rsidR="00350919" w:rsidRPr="004A78F1">
        <w:rPr>
          <w:rFonts w:ascii="Arial" w:hAnsi="Arial" w:cs="Arial"/>
          <w:lang w:val="en-US"/>
        </w:rPr>
        <w:t>an entry of the</w:t>
      </w:r>
      <w:r w:rsidR="00A05F90" w:rsidRPr="004A78F1">
        <w:rPr>
          <w:rFonts w:ascii="Arial" w:hAnsi="Arial" w:cs="Arial"/>
          <w:lang w:val="en-US"/>
        </w:rPr>
        <w:t xml:space="preserve"> perRAAttemptInfoList </w:t>
      </w:r>
      <w:r w:rsidR="00350919" w:rsidRPr="004A78F1">
        <w:rPr>
          <w:rFonts w:ascii="Arial" w:hAnsi="Arial" w:cs="Arial"/>
          <w:lang w:val="en-US"/>
        </w:rPr>
        <w:t>can be left empty (e.g. CFRA).</w:t>
      </w:r>
    </w:p>
    <w:p w14:paraId="4C9E2B3E" w14:textId="34DAAFCE" w:rsidR="00917548" w:rsidRDefault="00917548" w:rsidP="00BD0A4F">
      <w:pPr>
        <w:spacing w:line="259" w:lineRule="auto"/>
        <w:rPr>
          <w:rFonts w:ascii="Arial" w:eastAsia="DengXian" w:hAnsi="Arial" w:cs="Arial"/>
          <w:lang w:val="en-US"/>
        </w:rPr>
      </w:pPr>
      <w:r>
        <w:rPr>
          <w:rFonts w:ascii="Arial" w:hAnsi="Arial" w:cs="Arial"/>
          <w:lang w:val="en-US"/>
        </w:rPr>
        <w:lastRenderedPageBreak/>
        <w:t>Hence</w:t>
      </w:r>
      <w:r w:rsidR="00025F5B">
        <w:rPr>
          <w:rFonts w:ascii="Arial" w:hAnsi="Arial" w:cs="Arial"/>
          <w:lang w:val="en-US"/>
        </w:rPr>
        <w:t>, irrespective of the solution, RAN2 should discuss how to handle the numberOfPreamblesSentOnSSB/numberOfPreamblesSentO</w:t>
      </w:r>
      <w:r w:rsidR="00025F5B">
        <w:rPr>
          <w:rFonts w:ascii="Arial" w:hAnsi="Arial" w:cs="Arial" w:hint="eastAsia"/>
          <w:lang w:val="en-US"/>
        </w:rPr>
        <w:t>nCSI-RS</w:t>
      </w:r>
      <w:r w:rsidR="00025F5B">
        <w:rPr>
          <w:rFonts w:ascii="Arial" w:hAnsi="Arial" w:cs="Arial"/>
          <w:lang w:val="en-US"/>
        </w:rPr>
        <w:t xml:space="preserve"> </w:t>
      </w:r>
      <w:r w:rsidR="00025F5B" w:rsidRPr="0071008B">
        <w:rPr>
          <w:rFonts w:ascii="Arial" w:eastAsia="DengXian" w:hAnsi="Arial" w:cs="Arial"/>
          <w:lang w:val="en-US"/>
        </w:rPr>
        <w:t>and perRAAttemptInfoList</w:t>
      </w:r>
      <w:r w:rsidR="00BC22A4" w:rsidRPr="0071008B">
        <w:rPr>
          <w:rFonts w:ascii="Arial" w:eastAsia="DengXian" w:hAnsi="Arial" w:cs="Arial"/>
          <w:lang w:val="en-US"/>
        </w:rPr>
        <w:t xml:space="preserve">. </w:t>
      </w:r>
      <w:r w:rsidR="002D4F08" w:rsidRPr="0071008B">
        <w:rPr>
          <w:rFonts w:ascii="Arial" w:eastAsia="DengXian" w:hAnsi="Arial" w:cs="Arial"/>
          <w:lang w:val="en-US"/>
        </w:rPr>
        <w:t>For example, one solution could be that it is clarified in the specification (e.g. in a NOTE) that in case all the successive LBT preamble transmission</w:t>
      </w:r>
      <w:r w:rsidR="009C65A5">
        <w:rPr>
          <w:rFonts w:ascii="Arial" w:eastAsia="DengXian" w:hAnsi="Arial" w:cs="Arial"/>
          <w:lang w:val="en-US"/>
        </w:rPr>
        <w:t>s</w:t>
      </w:r>
      <w:r w:rsidR="002D4F08" w:rsidRPr="0071008B">
        <w:rPr>
          <w:rFonts w:ascii="Arial" w:eastAsia="DengXian" w:hAnsi="Arial" w:cs="Arial"/>
          <w:lang w:val="en-US"/>
        </w:rPr>
        <w:t xml:space="preserve"> in a beam are stopped by LBT failures, it is left to the implementation how to set the numberOfPreamblesSentOnSSB/numberOfPreamblesSentOnCSI-RS. </w:t>
      </w:r>
      <w:r w:rsidR="00FC146C">
        <w:rPr>
          <w:rFonts w:ascii="Arial" w:eastAsia="DengXian" w:hAnsi="Arial" w:cs="Arial"/>
          <w:lang w:val="en-US"/>
        </w:rPr>
        <w:t xml:space="preserve">RAN2 should then discuss how the UE should inform the network that all the </w:t>
      </w:r>
      <w:r w:rsidR="00BC6295">
        <w:rPr>
          <w:rFonts w:ascii="Arial" w:eastAsia="DengXian" w:hAnsi="Arial" w:cs="Arial"/>
          <w:lang w:val="en-US"/>
        </w:rPr>
        <w:t>preamble transmission attempts in that beam were blocked by LBT</w:t>
      </w:r>
      <w:r w:rsidR="0071008B">
        <w:rPr>
          <w:rFonts w:ascii="Arial" w:eastAsia="DengXian" w:hAnsi="Arial" w:cs="Arial"/>
          <w:lang w:val="en-US"/>
        </w:rPr>
        <w:t>.</w:t>
      </w:r>
    </w:p>
    <w:p w14:paraId="06EDB971" w14:textId="46E5000E" w:rsidR="005F3329" w:rsidRPr="005F3329" w:rsidRDefault="009C65A5" w:rsidP="009C65A5">
      <w:pPr>
        <w:pStyle w:val="Proposal"/>
        <w:rPr>
          <w:lang w:val="en-US"/>
        </w:rPr>
      </w:pPr>
      <w:bookmarkStart w:id="2" w:name="_Toc146873890"/>
      <w:r>
        <w:rPr>
          <w:lang w:val="en-US"/>
        </w:rPr>
        <w:t xml:space="preserve">In </w:t>
      </w:r>
      <w:r w:rsidRPr="0071008B">
        <w:rPr>
          <w:rFonts w:eastAsia="DengXian" w:cs="Arial"/>
          <w:lang w:val="en-US"/>
        </w:rPr>
        <w:t>case all the successive LBT preamble transmission</w:t>
      </w:r>
      <w:r>
        <w:rPr>
          <w:rFonts w:eastAsia="DengXian" w:cs="Arial"/>
          <w:lang w:val="en-US"/>
        </w:rPr>
        <w:t>s</w:t>
      </w:r>
      <w:r w:rsidRPr="0071008B">
        <w:rPr>
          <w:rFonts w:eastAsia="DengXian" w:cs="Arial"/>
          <w:lang w:val="en-US"/>
        </w:rPr>
        <w:t xml:space="preserve"> in a beam are stopped by LBT failures, it is left to the </w:t>
      </w:r>
      <w:r w:rsidR="00267746">
        <w:rPr>
          <w:rFonts w:eastAsia="DengXian" w:cs="Arial"/>
          <w:lang w:val="en-US"/>
        </w:rPr>
        <w:t xml:space="preserve">UE </w:t>
      </w:r>
      <w:r w:rsidRPr="0071008B">
        <w:rPr>
          <w:rFonts w:eastAsia="DengXian" w:cs="Arial"/>
          <w:lang w:val="en-US"/>
        </w:rPr>
        <w:t>implementation how to set the numberOfPreamblesSentOnSSB/numberOfPreamblesSentOnCSI-</w:t>
      </w:r>
      <w:r w:rsidR="00EC4F21">
        <w:rPr>
          <w:rFonts w:eastAsia="DengXian" w:cs="Arial"/>
          <w:lang w:val="en-US"/>
        </w:rPr>
        <w:t>RS</w:t>
      </w:r>
      <w:r w:rsidRPr="0071008B">
        <w:rPr>
          <w:rFonts w:eastAsia="DengXian" w:cs="Arial"/>
          <w:lang w:val="en-US"/>
        </w:rPr>
        <w:t>.</w:t>
      </w:r>
      <w:bookmarkEnd w:id="2"/>
      <w:r w:rsidRPr="0071008B">
        <w:rPr>
          <w:rFonts w:eastAsia="DengXian" w:cs="Arial"/>
          <w:lang w:val="en-US"/>
        </w:rPr>
        <w:t xml:space="preserve"> </w:t>
      </w:r>
    </w:p>
    <w:p w14:paraId="039E7B69" w14:textId="0A657C34" w:rsidR="009C65A5" w:rsidRDefault="005F3329" w:rsidP="009C65A5">
      <w:pPr>
        <w:pStyle w:val="Proposal"/>
        <w:rPr>
          <w:lang w:val="en-US"/>
        </w:rPr>
      </w:pPr>
      <w:bookmarkStart w:id="3" w:name="_Toc146873891"/>
      <w:r>
        <w:rPr>
          <w:rFonts w:eastAsia="DengXian" w:cs="Arial"/>
          <w:lang w:val="en-US"/>
        </w:rPr>
        <w:t xml:space="preserve">RAN2 to discuss </w:t>
      </w:r>
      <w:r w:rsidR="006F2E97">
        <w:rPr>
          <w:rFonts w:eastAsia="DengXian" w:cs="Arial"/>
          <w:lang w:val="en-US"/>
        </w:rPr>
        <w:t xml:space="preserve">how the UE should inform the network </w:t>
      </w:r>
      <w:r w:rsidR="009C65A5" w:rsidRPr="0071008B">
        <w:rPr>
          <w:rFonts w:eastAsia="DengXian" w:cs="Arial"/>
          <w:lang w:val="en-US"/>
        </w:rPr>
        <w:t xml:space="preserve">that all </w:t>
      </w:r>
      <w:r w:rsidR="009D5D69">
        <w:rPr>
          <w:rFonts w:eastAsia="DengXian" w:cs="Arial"/>
          <w:lang w:val="en-US"/>
        </w:rPr>
        <w:t xml:space="preserve">the preamble transmission attempts </w:t>
      </w:r>
      <w:r w:rsidR="002B09AA">
        <w:rPr>
          <w:rFonts w:eastAsia="DengXian" w:cs="Arial"/>
          <w:lang w:val="en-US"/>
        </w:rPr>
        <w:t xml:space="preserve">in a beam </w:t>
      </w:r>
      <w:r w:rsidR="009D5D69">
        <w:rPr>
          <w:rFonts w:eastAsia="DengXian" w:cs="Arial"/>
          <w:lang w:val="en-US"/>
        </w:rPr>
        <w:t>were blocked by LBT</w:t>
      </w:r>
      <w:r w:rsidR="009C65A5">
        <w:rPr>
          <w:rFonts w:eastAsia="DengXian" w:cs="Arial"/>
          <w:lang w:val="en-US"/>
        </w:rPr>
        <w:t>.</w:t>
      </w:r>
      <w:bookmarkEnd w:id="3"/>
    </w:p>
    <w:p w14:paraId="49CEB43B" w14:textId="5CBE41F2" w:rsidR="00420A1E" w:rsidRDefault="00420A1E" w:rsidP="00420A1E">
      <w:pPr>
        <w:pStyle w:val="Heading3"/>
        <w:rPr>
          <w:lang w:val="en-US"/>
        </w:rPr>
      </w:pPr>
      <w:r>
        <w:rPr>
          <w:lang w:val="en-US"/>
        </w:rPr>
        <w:t>2.2 Enhancements to the RLF-Report</w:t>
      </w:r>
    </w:p>
    <w:p w14:paraId="66F23B9E" w14:textId="77777777" w:rsidR="001A6E41" w:rsidRDefault="001A6E41" w:rsidP="001A6E41">
      <w:pPr>
        <w:rPr>
          <w:rFonts w:ascii="Arial" w:hAnsi="Arial" w:cs="Arial"/>
          <w:lang w:val="en-US"/>
        </w:rPr>
      </w:pPr>
      <w:r>
        <w:rPr>
          <w:rFonts w:ascii="Arial" w:hAnsi="Arial" w:cs="Arial"/>
          <w:lang w:val="en-US"/>
        </w:rPr>
        <w:t>Related to which BWP include in the RAInformationCommon within the RLF-Report, the following was agreed:</w:t>
      </w:r>
    </w:p>
    <w:p w14:paraId="75E60D2A" w14:textId="77777777" w:rsidR="001A6E41" w:rsidRDefault="001A6E41" w:rsidP="001A6E41">
      <w:pPr>
        <w:pStyle w:val="Doc-text2"/>
        <w:pBdr>
          <w:top w:val="single" w:sz="4" w:space="1" w:color="auto"/>
          <w:left w:val="single" w:sz="4" w:space="4" w:color="auto"/>
          <w:bottom w:val="single" w:sz="4" w:space="1" w:color="auto"/>
          <w:right w:val="single" w:sz="4" w:space="4" w:color="auto"/>
        </w:pBdr>
        <w:rPr>
          <w:lang w:val="en-US"/>
        </w:rPr>
      </w:pPr>
      <w:r>
        <w:rPr>
          <w:lang w:val="en-US"/>
        </w:rPr>
        <w:t>As baseline, RAN2 assumes the following:</w:t>
      </w:r>
    </w:p>
    <w:p w14:paraId="1593EC43" w14:textId="77777777" w:rsidR="001A6E41" w:rsidRDefault="001A6E41" w:rsidP="001A6E41">
      <w:pPr>
        <w:pStyle w:val="Doc-text2"/>
        <w:pBdr>
          <w:top w:val="single" w:sz="4" w:space="1" w:color="auto"/>
          <w:left w:val="single" w:sz="4" w:space="4" w:color="auto"/>
          <w:bottom w:val="single" w:sz="4" w:space="1" w:color="auto"/>
          <w:right w:val="single" w:sz="4" w:space="4" w:color="auto"/>
        </w:pBdr>
        <w:rPr>
          <w:lang w:val="en-US"/>
        </w:rPr>
      </w:pPr>
      <w:r>
        <w:rPr>
          <w:lang w:val="en-US"/>
        </w:rPr>
        <w:t>a.</w:t>
      </w:r>
      <w:r>
        <w:rPr>
          <w:lang w:val="en-US"/>
        </w:rPr>
        <w:tab/>
        <w:t>Enhancements discussed for the RA-InformationCommon for the RA-Report are applicable also to the RLF-Report</w:t>
      </w:r>
    </w:p>
    <w:p w14:paraId="66DB7E4F" w14:textId="77777777" w:rsidR="001A6E41" w:rsidRDefault="001A6E41" w:rsidP="001A6E41">
      <w:pPr>
        <w:pStyle w:val="Doc-text2"/>
        <w:pBdr>
          <w:top w:val="single" w:sz="4" w:space="1" w:color="auto"/>
          <w:left w:val="single" w:sz="4" w:space="4" w:color="auto"/>
          <w:bottom w:val="single" w:sz="4" w:space="1" w:color="auto"/>
          <w:right w:val="single" w:sz="4" w:space="4" w:color="auto"/>
        </w:pBdr>
        <w:rPr>
          <w:lang w:val="en-US"/>
        </w:rPr>
      </w:pPr>
      <w:r>
        <w:rPr>
          <w:lang w:val="en-US"/>
        </w:rPr>
        <w:t>b.</w:t>
      </w:r>
      <w:r>
        <w:rPr>
          <w:lang w:val="en-US"/>
        </w:rPr>
        <w:tab/>
      </w:r>
      <w:r w:rsidRPr="002D66C7">
        <w:rPr>
          <w:highlight w:val="yellow"/>
          <w:lang w:val="en-US"/>
        </w:rPr>
        <w:t>The detailed “per RA attempt info” are only reported in the RLF-Report for the last RA procedure before RLF/HOF, FFS whereas limited information are reported for the other BWPs in which consistent LBT failure is detected</w:t>
      </w:r>
    </w:p>
    <w:p w14:paraId="0D8990D7" w14:textId="77777777" w:rsidR="001A6E41" w:rsidRDefault="001A6E41" w:rsidP="001A6E41">
      <w:pPr>
        <w:pStyle w:val="Doc-text2"/>
        <w:pBdr>
          <w:top w:val="single" w:sz="4" w:space="1" w:color="auto"/>
          <w:left w:val="single" w:sz="4" w:space="4" w:color="auto"/>
          <w:bottom w:val="single" w:sz="4" w:space="1" w:color="auto"/>
          <w:right w:val="single" w:sz="4" w:space="4" w:color="auto"/>
        </w:pBdr>
        <w:rPr>
          <w:lang w:val="en-US"/>
        </w:rPr>
      </w:pPr>
      <w:r>
        <w:rPr>
          <w:lang w:val="en-US"/>
        </w:rPr>
        <w:t>c.</w:t>
      </w:r>
      <w:r>
        <w:rPr>
          <w:lang w:val="en-US"/>
        </w:rPr>
        <w:tab/>
        <w:t>The above bullets may be revisited case by case depending on future agreements.</w:t>
      </w:r>
    </w:p>
    <w:p w14:paraId="71865069" w14:textId="77777777" w:rsidR="001A6E41" w:rsidRDefault="001A6E41" w:rsidP="001A6E41"/>
    <w:p w14:paraId="48C7B0D9" w14:textId="77777777" w:rsidR="001A6E41" w:rsidRDefault="001A6E41" w:rsidP="001A6E41">
      <w:pPr>
        <w:rPr>
          <w:rFonts w:ascii="Arial" w:hAnsi="Arial" w:cs="Arial"/>
          <w:lang w:val="en-US"/>
        </w:rPr>
      </w:pPr>
      <w:r>
        <w:rPr>
          <w:rFonts w:ascii="Arial" w:hAnsi="Arial" w:cs="Arial"/>
          <w:lang w:val="en-US"/>
        </w:rPr>
        <w:t>We note that for the case of RA-Report, the UE includes the information associated to all BWPs in which consistent LBT failure was detected in the RA-Report. There seems to be no clear reason for not including the information about consistent LBT failures in the RA-InformationCommon included in the RLF-Report.</w:t>
      </w:r>
    </w:p>
    <w:p w14:paraId="2FD85378" w14:textId="77777777" w:rsidR="001A6E41" w:rsidRDefault="001A6E41" w:rsidP="001A6E41">
      <w:pPr>
        <w:rPr>
          <w:rFonts w:ascii="Arial" w:eastAsia="Calibri" w:hAnsi="Arial"/>
          <w:lang w:val="en-US"/>
        </w:rPr>
      </w:pPr>
      <w:r>
        <w:rPr>
          <w:rFonts w:ascii="Arial" w:eastAsia="Calibri" w:hAnsi="Arial"/>
          <w:lang w:val="en-US"/>
        </w:rPr>
        <w:t>The benefit of this is quite clear. In NR-U systems, the reason for switching the BWP upon consistent LBT failure is because the UE is expected to experience different LBT performances in another BWP, i.e. LBT performed in different chunks of the NR-U band may lead to different LBT results.</w:t>
      </w:r>
      <w:r>
        <w:rPr>
          <w:rFonts w:ascii="Arial" w:eastAsia="Calibri" w:hAnsi="Arial"/>
          <w:lang w:val="en-US"/>
        </w:rPr>
        <w:br/>
        <w:t>Hence knowing the BWPs in which consistent LBT failure occurred prior to the RLF/HOF allows the NW to identify the problematic BWPs and optimize the usage of those. For example, the network can figure out that the consistent LBT failures are persistently experienced in a certain BWP, and then optimize the configuration/allocation of this BWP in the NR-U spectrum.</w:t>
      </w:r>
    </w:p>
    <w:p w14:paraId="1DD3F1DC" w14:textId="4F0D6DA4" w:rsidR="001A6E41" w:rsidRPr="001A6E41" w:rsidRDefault="001A6E41" w:rsidP="001A6E41">
      <w:pPr>
        <w:pStyle w:val="Proposal"/>
        <w:rPr>
          <w:lang w:val="en-US"/>
        </w:rPr>
      </w:pPr>
      <w:bookmarkStart w:id="4" w:name="_Toc146873892"/>
      <w:r w:rsidRPr="007A405A">
        <w:rPr>
          <w:lang w:val="en-US"/>
        </w:rPr>
        <w:t xml:space="preserve">The UE includes </w:t>
      </w:r>
      <w:r>
        <w:rPr>
          <w:lang w:val="en-US"/>
        </w:rPr>
        <w:t xml:space="preserve">in the RLF-Report </w:t>
      </w:r>
      <w:r w:rsidRPr="007A405A">
        <w:rPr>
          <w:lang w:val="en-US"/>
        </w:rPr>
        <w:t xml:space="preserve">the </w:t>
      </w:r>
      <w:r w:rsidRPr="007A405A">
        <w:rPr>
          <w:rFonts w:eastAsia="DengXian" w:cs="Arial"/>
          <w:i/>
          <w:iCs/>
        </w:rPr>
        <w:t>locationAndBandwidth</w:t>
      </w:r>
      <w:r w:rsidRPr="007A405A">
        <w:rPr>
          <w:rFonts w:eastAsia="DengXian" w:cs="Arial"/>
        </w:rPr>
        <w:t xml:space="preserve">, and the </w:t>
      </w:r>
      <w:r w:rsidRPr="007A405A">
        <w:rPr>
          <w:rFonts w:eastAsia="DengXian" w:cs="Arial"/>
          <w:i/>
          <w:iCs/>
        </w:rPr>
        <w:t>subcarrierSpacing</w:t>
      </w:r>
      <w:r w:rsidRPr="007A405A">
        <w:rPr>
          <w:rFonts w:eastAsia="DengXian" w:cs="Arial"/>
        </w:rPr>
        <w:t xml:space="preserve"> of</w:t>
      </w:r>
      <w:r w:rsidR="002C1F57">
        <w:rPr>
          <w:rFonts w:eastAsia="DengXian" w:cs="Arial"/>
        </w:rPr>
        <w:t xml:space="preserve"> all</w:t>
      </w:r>
      <w:r w:rsidRPr="007A405A">
        <w:rPr>
          <w:rFonts w:eastAsia="DengXian" w:cs="Arial"/>
        </w:rPr>
        <w:t xml:space="preserve"> the BWP</w:t>
      </w:r>
      <w:r>
        <w:rPr>
          <w:rFonts w:eastAsia="DengXian" w:cs="Arial"/>
        </w:rPr>
        <w:t>s</w:t>
      </w:r>
      <w:r w:rsidRPr="007A405A">
        <w:rPr>
          <w:rFonts w:eastAsia="DengXian" w:cs="Arial"/>
        </w:rPr>
        <w:t xml:space="preserve"> </w:t>
      </w:r>
      <w:r>
        <w:rPr>
          <w:rFonts w:eastAsia="DengXian" w:cs="Arial"/>
        </w:rPr>
        <w:t xml:space="preserve">in which the UE experienced the </w:t>
      </w:r>
      <w:r w:rsidRPr="007A405A">
        <w:rPr>
          <w:lang w:val="en-US"/>
        </w:rPr>
        <w:t>consistent UL LBT failure</w:t>
      </w:r>
      <w:r>
        <w:rPr>
          <w:lang w:val="en-US"/>
        </w:rPr>
        <w:t>s prior the RLF/HOF.</w:t>
      </w:r>
      <w:bookmarkEnd w:id="4"/>
    </w:p>
    <w:p w14:paraId="4CE9A3C0" w14:textId="3AC1E81E" w:rsidR="007B0FDB" w:rsidRDefault="007B0FDB" w:rsidP="007B0FDB">
      <w:pPr>
        <w:pStyle w:val="Heading4"/>
      </w:pPr>
      <w:r>
        <w:t xml:space="preserve">2.2.1 </w:t>
      </w:r>
      <w:r w:rsidR="009D00E7">
        <w:t>RSSI reporting</w:t>
      </w:r>
    </w:p>
    <w:p w14:paraId="05BFAA7B" w14:textId="5214FE33" w:rsidR="00450CD0" w:rsidRDefault="00450CD0" w:rsidP="00450CD0">
      <w:pPr>
        <w:rPr>
          <w:rFonts w:ascii="Arial" w:hAnsi="Arial"/>
          <w:lang w:val="en-US" w:eastAsia="zh-CN"/>
        </w:rPr>
      </w:pPr>
      <w:r>
        <w:rPr>
          <w:rFonts w:ascii="Arial" w:hAnsi="Arial"/>
          <w:lang w:val="en-US" w:eastAsia="zh-CN"/>
        </w:rPr>
        <w:t>Related to RSSI reporting in the RLF-Report, the following agreements were taken in RAN2#122:</w:t>
      </w:r>
    </w:p>
    <w:p w14:paraId="24FBE117" w14:textId="77777777" w:rsidR="00450CD0" w:rsidRDefault="00450CD0" w:rsidP="00450CD0">
      <w:pPr>
        <w:pStyle w:val="Doc-text2"/>
        <w:pBdr>
          <w:top w:val="single" w:sz="4" w:space="1" w:color="auto"/>
          <w:left w:val="single" w:sz="4" w:space="4" w:color="auto"/>
          <w:bottom w:val="single" w:sz="4" w:space="1" w:color="auto"/>
          <w:right w:val="single" w:sz="4" w:space="4" w:color="auto"/>
        </w:pBdr>
        <w:rPr>
          <w:rFonts w:eastAsia="DengXian"/>
          <w:b/>
          <w:bCs/>
          <w:u w:val="single"/>
          <w:lang w:val="en-US"/>
        </w:rPr>
      </w:pPr>
      <w:r>
        <w:rPr>
          <w:rFonts w:eastAsia="DengXian"/>
          <w:b/>
          <w:bCs/>
          <w:u w:val="single"/>
          <w:lang w:val="en-US"/>
        </w:rPr>
        <w:t>From RAN2#122:</w:t>
      </w:r>
    </w:p>
    <w:p w14:paraId="6DF6EFDE" w14:textId="77777777" w:rsidR="00450CD0" w:rsidRDefault="00450CD0" w:rsidP="00450CD0">
      <w:pPr>
        <w:pStyle w:val="Doc-text2"/>
        <w:pBdr>
          <w:top w:val="single" w:sz="4" w:space="1" w:color="auto"/>
          <w:left w:val="single" w:sz="4" w:space="4" w:color="auto"/>
          <w:bottom w:val="single" w:sz="4" w:space="1" w:color="auto"/>
          <w:right w:val="single" w:sz="4" w:space="4" w:color="auto"/>
        </w:pBdr>
        <w:rPr>
          <w:rFonts w:eastAsia="DengXian"/>
          <w:lang w:val="en-US"/>
        </w:rPr>
      </w:pPr>
    </w:p>
    <w:p w14:paraId="355D008D" w14:textId="77777777" w:rsidR="00450CD0" w:rsidRDefault="00450CD0" w:rsidP="00450CD0">
      <w:pPr>
        <w:pStyle w:val="Doc-text2"/>
        <w:pBdr>
          <w:top w:val="single" w:sz="4" w:space="1" w:color="auto"/>
          <w:left w:val="single" w:sz="4" w:space="4" w:color="auto"/>
          <w:bottom w:val="single" w:sz="4" w:space="1" w:color="auto"/>
          <w:right w:val="single" w:sz="4" w:space="4" w:color="auto"/>
        </w:pBdr>
        <w:rPr>
          <w:lang w:val="en-US"/>
        </w:rPr>
      </w:pPr>
      <w:r>
        <w:rPr>
          <w:lang w:val="en-US"/>
        </w:rPr>
        <w:t>The UE logs the available RSSI measurement in the RLF-Report. FFS in which case.</w:t>
      </w:r>
    </w:p>
    <w:p w14:paraId="4BEAE016" w14:textId="77777777" w:rsidR="00450CD0" w:rsidRDefault="00450CD0" w:rsidP="00450CD0">
      <w:pPr>
        <w:pStyle w:val="Doc-text2"/>
        <w:pBdr>
          <w:top w:val="single" w:sz="4" w:space="1" w:color="auto"/>
          <w:left w:val="single" w:sz="4" w:space="4" w:color="auto"/>
          <w:bottom w:val="single" w:sz="4" w:space="1" w:color="auto"/>
          <w:right w:val="single" w:sz="4" w:space="4" w:color="auto"/>
        </w:pBdr>
        <w:rPr>
          <w:lang w:val="en-US"/>
        </w:rPr>
      </w:pPr>
    </w:p>
    <w:p w14:paraId="0CA3950C" w14:textId="77777777" w:rsidR="00450CD0" w:rsidRDefault="00450CD0" w:rsidP="00450CD0">
      <w:pPr>
        <w:pStyle w:val="Doc-text2"/>
        <w:pBdr>
          <w:top w:val="single" w:sz="4" w:space="1" w:color="auto"/>
          <w:left w:val="single" w:sz="4" w:space="4" w:color="auto"/>
          <w:bottom w:val="single" w:sz="4" w:space="1" w:color="auto"/>
          <w:right w:val="single" w:sz="4" w:space="4" w:color="auto"/>
        </w:pBdr>
        <w:rPr>
          <w:lang w:val="en-US"/>
        </w:rPr>
      </w:pPr>
      <w:r>
        <w:rPr>
          <w:lang w:val="en-US"/>
        </w:rPr>
        <w:t>8</w:t>
      </w:r>
      <w:r>
        <w:rPr>
          <w:lang w:val="en-US"/>
        </w:rPr>
        <w:tab/>
        <w:t>The UE should log the following RSSI values in the RLF-Report:</w:t>
      </w:r>
    </w:p>
    <w:p w14:paraId="7A9993CB" w14:textId="77777777" w:rsidR="00450CD0" w:rsidRDefault="00450CD0" w:rsidP="00450CD0">
      <w:pPr>
        <w:pStyle w:val="Doc-text2"/>
        <w:pBdr>
          <w:top w:val="single" w:sz="4" w:space="1" w:color="auto"/>
          <w:left w:val="single" w:sz="4" w:space="4" w:color="auto"/>
          <w:bottom w:val="single" w:sz="4" w:space="1" w:color="auto"/>
          <w:right w:val="single" w:sz="4" w:space="4" w:color="auto"/>
        </w:pBdr>
        <w:rPr>
          <w:lang w:val="en-US"/>
        </w:rPr>
      </w:pPr>
      <w:r>
        <w:rPr>
          <w:lang w:val="en-US"/>
        </w:rPr>
        <w:t>a.</w:t>
      </w:r>
      <w:r>
        <w:rPr>
          <w:lang w:val="en-US"/>
        </w:rPr>
        <w:tab/>
        <w:t>For RLF, the latest measured RSSI of the NR-U channel of the last serving cell if measRSSI-ReportConfig is configured for the corresponding frequency.</w:t>
      </w:r>
    </w:p>
    <w:p w14:paraId="70C7D9EA" w14:textId="77777777" w:rsidR="00450CD0" w:rsidRDefault="00450CD0" w:rsidP="00450CD0">
      <w:pPr>
        <w:pStyle w:val="Doc-text2"/>
        <w:pBdr>
          <w:top w:val="single" w:sz="4" w:space="1" w:color="auto"/>
          <w:left w:val="single" w:sz="4" w:space="4" w:color="auto"/>
          <w:bottom w:val="single" w:sz="4" w:space="1" w:color="auto"/>
          <w:right w:val="single" w:sz="4" w:space="4" w:color="auto"/>
        </w:pBdr>
        <w:rPr>
          <w:lang w:val="en-US"/>
        </w:rPr>
      </w:pPr>
      <w:r>
        <w:rPr>
          <w:lang w:val="en-US"/>
        </w:rPr>
        <w:t>b.</w:t>
      </w:r>
      <w:r>
        <w:rPr>
          <w:lang w:val="en-US"/>
        </w:rPr>
        <w:tab/>
        <w:t>FFS: For HOF, the latest measured RSSI of the NR-U channel of the source cell, and  the latest measured RSSI of the NR-U channel of the target cell, if measRSSI-ReportConfig is configured for the corresponding frequency.</w:t>
      </w:r>
    </w:p>
    <w:p w14:paraId="3DFFD9EC" w14:textId="77777777" w:rsidR="00450CD0" w:rsidRDefault="00450CD0" w:rsidP="00450CD0">
      <w:pPr>
        <w:rPr>
          <w:rFonts w:ascii="Arial" w:hAnsi="Arial"/>
          <w:lang w:val="en-US" w:eastAsia="zh-CN"/>
        </w:rPr>
      </w:pPr>
    </w:p>
    <w:p w14:paraId="0AA5627A" w14:textId="77777777" w:rsidR="00450CD0" w:rsidRDefault="00450CD0" w:rsidP="00680CAE">
      <w:pPr>
        <w:jc w:val="both"/>
        <w:rPr>
          <w:rFonts w:ascii="Arial" w:hAnsi="Arial" w:cs="Arial"/>
        </w:rPr>
      </w:pPr>
    </w:p>
    <w:p w14:paraId="52E833BB" w14:textId="5CC6508F" w:rsidR="00274A3F" w:rsidRDefault="00DE2546" w:rsidP="00680CAE">
      <w:pPr>
        <w:jc w:val="both"/>
        <w:rPr>
          <w:rFonts w:ascii="Arial" w:eastAsia="Calibri" w:hAnsi="Arial"/>
          <w:lang w:val="en-US"/>
        </w:rPr>
      </w:pPr>
      <w:r w:rsidRPr="00DE2546">
        <w:rPr>
          <w:rFonts w:ascii="Arial" w:hAnsi="Arial" w:cs="Arial"/>
        </w:rPr>
        <w:lastRenderedPageBreak/>
        <w:t>Related to RLF</w:t>
      </w:r>
      <w:r w:rsidR="00160C25">
        <w:rPr>
          <w:rFonts w:ascii="Arial" w:hAnsi="Arial" w:cs="Arial"/>
        </w:rPr>
        <w:t xml:space="preserve"> case</w:t>
      </w:r>
      <w:r w:rsidR="00FB11BD">
        <w:rPr>
          <w:rFonts w:ascii="Arial" w:hAnsi="Arial" w:cs="Arial"/>
        </w:rPr>
        <w:t xml:space="preserve">, in our view the RSSI measurements of the source cell should be considered also for the HOF. </w:t>
      </w:r>
      <w:r w:rsidR="00274A3F">
        <w:rPr>
          <w:rFonts w:ascii="Arial" w:hAnsi="Arial" w:cs="Arial"/>
        </w:rPr>
        <w:t xml:space="preserve">As in classical MRO, </w:t>
      </w:r>
      <w:r w:rsidR="00480655">
        <w:rPr>
          <w:rFonts w:ascii="Arial" w:hAnsi="Arial" w:cs="Arial"/>
        </w:rPr>
        <w:t xml:space="preserve">the network </w:t>
      </w:r>
      <w:r w:rsidR="00480655">
        <w:rPr>
          <w:rFonts w:ascii="Arial" w:eastAsia="Calibri" w:hAnsi="Arial"/>
          <w:lang w:val="en-US"/>
        </w:rPr>
        <w:t>can use the RSSI information (together with the legacy RSRP/RSRQ/SINR) to compare the quality of the frequency of the source cell with the quality of the frequency of the target cell or neighbouring cells. For example, if the RLF-Report shows very bad RSSI on the target frequency, and still acceptable RSSI on the source frequency, then the NW can conclude that this HO was executed at a bad point in time, and the UE could have been kept longer time in the source frequency. Accordingly, the NW can adjust the thresholds on HO triggering</w:t>
      </w:r>
      <w:r w:rsidR="00282E43">
        <w:rPr>
          <w:rFonts w:ascii="Arial" w:eastAsia="Calibri" w:hAnsi="Arial"/>
          <w:lang w:val="en-US"/>
        </w:rPr>
        <w:t>.</w:t>
      </w:r>
      <w:r w:rsidR="00D70076">
        <w:rPr>
          <w:rFonts w:ascii="Arial" w:eastAsia="Calibri" w:hAnsi="Arial"/>
          <w:lang w:val="en-US"/>
        </w:rPr>
        <w:br/>
        <w:t xml:space="preserve">Please note that this is exactly the same reasons for which </w:t>
      </w:r>
      <w:r w:rsidR="00B423E5">
        <w:rPr>
          <w:rFonts w:ascii="Arial" w:eastAsia="Calibri" w:hAnsi="Arial"/>
          <w:lang w:val="en-US"/>
        </w:rPr>
        <w:t>the RSRP/RSRQ/SINR of the</w:t>
      </w:r>
      <w:r w:rsidR="00DB6505">
        <w:rPr>
          <w:rFonts w:ascii="Arial" w:eastAsia="Calibri" w:hAnsi="Arial"/>
          <w:lang w:val="en-US"/>
        </w:rPr>
        <w:t xml:space="preserve"> source as well as neighbouring cells is included in legacy.</w:t>
      </w:r>
    </w:p>
    <w:p w14:paraId="115D2993" w14:textId="5F411DBB" w:rsidR="00E82562" w:rsidRPr="000B3D6A" w:rsidRDefault="00256D86" w:rsidP="00E82562">
      <w:pPr>
        <w:pStyle w:val="Proposal"/>
      </w:pPr>
      <w:bookmarkStart w:id="5" w:name="_Toc146873893"/>
      <w:r w:rsidRPr="00770659">
        <w:rPr>
          <w:rFonts w:cs="Arial"/>
        </w:rPr>
        <w:t xml:space="preserve">The RSSI measurement results of the frequency associated to the last serving cell are included in the RLF-Report for the source PCell (in case of HO failure) </w:t>
      </w:r>
      <w:r w:rsidR="006E700B">
        <w:rPr>
          <w:rFonts w:cs="Arial"/>
        </w:rPr>
        <w:t>and</w:t>
      </w:r>
      <w:r w:rsidRPr="00770659">
        <w:rPr>
          <w:rFonts w:cs="Arial"/>
        </w:rPr>
        <w:t xml:space="preserve"> for the PCell (in case of RLF), if the </w:t>
      </w:r>
      <w:r w:rsidRPr="00770659">
        <w:rPr>
          <w:rFonts w:cs="Arial"/>
          <w:i/>
          <w:iCs/>
        </w:rPr>
        <w:t>measRSSI-ReportConfig</w:t>
      </w:r>
      <w:r w:rsidRPr="00770659">
        <w:rPr>
          <w:rFonts w:cs="Arial"/>
        </w:rPr>
        <w:t xml:space="preserve"> is configured for such frequency</w:t>
      </w:r>
      <w:r w:rsidR="009434C9" w:rsidRPr="00770659">
        <w:rPr>
          <w:rFonts w:cs="Arial"/>
        </w:rPr>
        <w:t>.</w:t>
      </w:r>
      <w:bookmarkEnd w:id="5"/>
    </w:p>
    <w:p w14:paraId="1920D96A" w14:textId="366FF9E2" w:rsidR="000B3D6A" w:rsidRPr="00770659" w:rsidRDefault="00765AE1" w:rsidP="000B3D6A">
      <w:r>
        <w:rPr>
          <w:rFonts w:ascii="Arial" w:eastAsia="Calibri" w:hAnsi="Arial"/>
          <w:lang w:val="en-US"/>
        </w:rPr>
        <w:t>Similarly, for neighbouring frequencies, if the RLF-Report shows very bad RSSI on the target frequency, but good RSSI on another neighbouring frequency, then the NW can conclude that this HO was executed to a wrong frequency, and hence it can adjust the thresholds on HO triggering.</w:t>
      </w:r>
    </w:p>
    <w:p w14:paraId="12781A43" w14:textId="6CD32576" w:rsidR="007E7CD7" w:rsidRPr="00C822B4" w:rsidRDefault="001D6B3F" w:rsidP="00680CAE">
      <w:pPr>
        <w:pStyle w:val="Proposal"/>
      </w:pPr>
      <w:bookmarkStart w:id="6" w:name="_Toc146873894"/>
      <w:r>
        <w:rPr>
          <w:rFonts w:cs="Arial"/>
        </w:rPr>
        <w:t>T</w:t>
      </w:r>
      <w:r w:rsidRPr="001D6B3F">
        <w:rPr>
          <w:rFonts w:cs="Arial"/>
        </w:rPr>
        <w:t xml:space="preserve">he UE includes in the RLF-Report the available RSSI measurement results of the frequencies associated to the neighbouring cells other than the source PCell (in case of HO failure) or PCell (in case of RLF), if the </w:t>
      </w:r>
      <w:r w:rsidRPr="001D6B3F">
        <w:rPr>
          <w:rFonts w:cs="Arial"/>
          <w:i/>
          <w:iCs/>
        </w:rPr>
        <w:t>measRSSI-ReportConfig</w:t>
      </w:r>
      <w:r w:rsidRPr="001D6B3F">
        <w:rPr>
          <w:rFonts w:cs="Arial"/>
        </w:rPr>
        <w:t xml:space="preserve"> is configured for such frequencies</w:t>
      </w:r>
      <w:r w:rsidR="00C8664A">
        <w:rPr>
          <w:rFonts w:cs="Arial"/>
        </w:rPr>
        <w:t>.</w:t>
      </w:r>
      <w:bookmarkEnd w:id="6"/>
    </w:p>
    <w:p w14:paraId="3AEC6578" w14:textId="31E0F860" w:rsidR="00CB57D6" w:rsidRDefault="00CB57D6" w:rsidP="00CB57D6">
      <w:pPr>
        <w:pStyle w:val="Heading4"/>
        <w:rPr>
          <w:lang w:val="en-US"/>
        </w:rPr>
      </w:pPr>
      <w:r>
        <w:rPr>
          <w:lang w:val="en-US"/>
        </w:rPr>
        <w:t>2.2.</w:t>
      </w:r>
      <w:r w:rsidR="00A64F22">
        <w:rPr>
          <w:lang w:val="en-US"/>
        </w:rPr>
        <w:t>3</w:t>
      </w:r>
      <w:r>
        <w:rPr>
          <w:lang w:val="en-US"/>
        </w:rPr>
        <w:t xml:space="preserve"> On the inclusion of </w:t>
      </w:r>
      <w:r w:rsidR="003B3C40">
        <w:t>lbt</w:t>
      </w:r>
      <w:r w:rsidR="003B3C40" w:rsidRPr="00F43A82">
        <w:t>-FailureRecoveryConfig</w:t>
      </w:r>
      <w:r w:rsidR="00E74140">
        <w:t xml:space="preserve"> in the RLF-Report</w:t>
      </w:r>
    </w:p>
    <w:p w14:paraId="21B2DCFB" w14:textId="044735ED" w:rsidR="00F8235C" w:rsidRDefault="00F8235C" w:rsidP="00680CAE">
      <w:pPr>
        <w:jc w:val="both"/>
        <w:rPr>
          <w:rFonts w:ascii="Arial" w:hAnsi="Arial" w:cs="Arial"/>
          <w:lang w:val="en-US"/>
        </w:rPr>
      </w:pPr>
      <w:r>
        <w:rPr>
          <w:rFonts w:ascii="Arial" w:hAnsi="Arial" w:cs="Arial"/>
          <w:lang w:val="en-US"/>
        </w:rPr>
        <w:t>An LS [2] was sent to RAN3 asking the possibilities of keeping the LBT failure recovery configuration at the network side. In the reply [3] to LS, RAN3 has replied that although one similar mechanism exists in RAN3, it would be practically minimal to store such information as LBT recovery procedure for a long time since that limits the network functionality. This is shown on the following excerpt of RAN3 LS [2].</w:t>
      </w:r>
    </w:p>
    <w:p w14:paraId="65D44EB7" w14:textId="77777777" w:rsidR="00F8235C" w:rsidRPr="00D2505A" w:rsidRDefault="00F8235C" w:rsidP="00F8235C">
      <w:pPr>
        <w:pBdr>
          <w:top w:val="single" w:sz="4" w:space="1" w:color="auto"/>
          <w:left w:val="single" w:sz="4" w:space="4" w:color="auto"/>
          <w:bottom w:val="single" w:sz="4" w:space="1" w:color="auto"/>
          <w:right w:val="single" w:sz="4" w:space="4" w:color="auto"/>
        </w:pBdr>
        <w:spacing w:after="0"/>
        <w:rPr>
          <w:rFonts w:ascii="Arial" w:hAnsi="Arial" w:cs="Arial"/>
          <w:i/>
          <w:iCs/>
        </w:rPr>
      </w:pPr>
      <w:r w:rsidRPr="009A4FEB">
        <w:rPr>
          <w:rFonts w:ascii="Arial" w:hAnsi="Arial" w:cs="Arial"/>
          <w:i/>
          <w:iCs/>
        </w:rPr>
        <w:t xml:space="preserve">RAN3 observes though, that the above mechanism was designed with intention to retrieve UE context or the configuration information if the UE attempts reconnection and reports the failure right after connection failure; </w:t>
      </w:r>
      <w:r w:rsidRPr="009A4FEB">
        <w:rPr>
          <w:rFonts w:ascii="Arial" w:hAnsi="Arial" w:cs="Arial"/>
          <w:i/>
          <w:iCs/>
          <w:highlight w:val="yellow"/>
        </w:rPr>
        <w:t>if the failure information is fetched from the UE hours after the failure, then the likelihood that the source and the last serving node can retrieve the needed information</w:t>
      </w:r>
      <w:r w:rsidRPr="009A4FEB">
        <w:rPr>
          <w:i/>
          <w:iCs/>
          <w:highlight w:val="yellow"/>
        </w:rPr>
        <w:t xml:space="preserve"> </w:t>
      </w:r>
      <w:r w:rsidRPr="009A4FEB">
        <w:rPr>
          <w:rFonts w:ascii="Arial" w:hAnsi="Arial" w:cs="Arial"/>
          <w:i/>
          <w:iCs/>
          <w:highlight w:val="yellow"/>
        </w:rPr>
        <w:t>depends on RAN implementation and is practically minimal (this depends on RAN implementation, e.g., how long the gNB stores the UE context or how long that allocated C-RNTI is not reused by the RAN).</w:t>
      </w:r>
    </w:p>
    <w:p w14:paraId="1CDCB1E7" w14:textId="77777777" w:rsidR="00F8235C" w:rsidRDefault="00F8235C" w:rsidP="00F8235C">
      <w:pPr>
        <w:rPr>
          <w:rFonts w:ascii="Arial" w:hAnsi="Arial" w:cs="Arial"/>
          <w:lang w:val="en-US"/>
        </w:rPr>
      </w:pPr>
    </w:p>
    <w:p w14:paraId="59A1A237" w14:textId="2372ADFC" w:rsidR="00F8235C" w:rsidRPr="00651D20" w:rsidRDefault="00F8235C" w:rsidP="00F8235C">
      <w:pPr>
        <w:pStyle w:val="Observation"/>
        <w:rPr>
          <w:rFonts w:cs="Arial"/>
          <w:lang w:val="en-US"/>
        </w:rPr>
      </w:pPr>
      <w:bookmarkStart w:id="7" w:name="_Toc146873897"/>
      <w:r w:rsidRPr="00651D20">
        <w:rPr>
          <w:lang w:val="en-US"/>
        </w:rPr>
        <w:t>According to RAN3, a network</w:t>
      </w:r>
      <w:r>
        <w:rPr>
          <w:lang w:val="en-US"/>
        </w:rPr>
        <w:t>-</w:t>
      </w:r>
      <w:r w:rsidRPr="00651D20">
        <w:rPr>
          <w:lang w:val="en-US"/>
        </w:rPr>
        <w:t>based solution to store LBT-Recovery config would be limiting network functionality and thus less practical</w:t>
      </w:r>
      <w:r w:rsidR="00190B5B">
        <w:rPr>
          <w:lang w:val="en-US"/>
        </w:rPr>
        <w:t xml:space="preserve"> in particular</w:t>
      </w:r>
      <w:r>
        <w:rPr>
          <w:lang w:val="en-US"/>
        </w:rPr>
        <w:t xml:space="preserve"> </w:t>
      </w:r>
      <w:r w:rsidR="00955B0A">
        <w:rPr>
          <w:lang w:val="en-US"/>
        </w:rPr>
        <w:t>when</w:t>
      </w:r>
      <w:r>
        <w:rPr>
          <w:lang w:val="en-US"/>
        </w:rPr>
        <w:t xml:space="preserve"> re-establishment procedure fails</w:t>
      </w:r>
      <w:r w:rsidRPr="00651D20">
        <w:rPr>
          <w:lang w:val="en-US"/>
        </w:rPr>
        <w:t>.</w:t>
      </w:r>
      <w:bookmarkEnd w:id="7"/>
    </w:p>
    <w:p w14:paraId="28D8F3C5" w14:textId="420B814A" w:rsidR="00F8235C" w:rsidRDefault="00E74140" w:rsidP="00680CAE">
      <w:pPr>
        <w:jc w:val="both"/>
        <w:rPr>
          <w:rFonts w:ascii="Arial" w:hAnsi="Arial" w:cs="Arial"/>
          <w:lang w:val="en-US"/>
        </w:rPr>
      </w:pPr>
      <w:r>
        <w:rPr>
          <w:rFonts w:ascii="Arial" w:hAnsi="Arial" w:cs="Arial"/>
          <w:lang w:val="en-US"/>
        </w:rPr>
        <w:t>In order to minimize the UE impact and the size of the RLF-Report</w:t>
      </w:r>
      <w:r w:rsidR="00F8235C">
        <w:rPr>
          <w:rFonts w:ascii="Arial" w:hAnsi="Arial" w:cs="Arial"/>
          <w:lang w:val="en-US"/>
        </w:rPr>
        <w:t>, we propose a UE</w:t>
      </w:r>
      <w:r>
        <w:rPr>
          <w:rFonts w:ascii="Arial" w:hAnsi="Arial" w:cs="Arial"/>
          <w:lang w:val="en-US"/>
        </w:rPr>
        <w:t>-</w:t>
      </w:r>
      <w:r w:rsidR="00F8235C">
        <w:rPr>
          <w:rFonts w:ascii="Arial" w:hAnsi="Arial" w:cs="Arial"/>
          <w:lang w:val="en-US"/>
        </w:rPr>
        <w:t xml:space="preserve">based solution where UE can store the LBT-Recovery configuration information in the RLF report </w:t>
      </w:r>
      <w:r>
        <w:rPr>
          <w:rFonts w:ascii="Arial" w:hAnsi="Arial" w:cs="Arial"/>
          <w:lang w:val="en-US"/>
        </w:rPr>
        <w:t>only in case of</w:t>
      </w:r>
      <w:r w:rsidR="00F8235C">
        <w:rPr>
          <w:rFonts w:ascii="Arial" w:hAnsi="Arial" w:cs="Arial"/>
          <w:lang w:val="en-US"/>
        </w:rPr>
        <w:t xml:space="preserve"> re-establishment procedure fail</w:t>
      </w:r>
      <w:r w:rsidR="004D7F85">
        <w:rPr>
          <w:rFonts w:ascii="Arial" w:hAnsi="Arial" w:cs="Arial"/>
          <w:lang w:val="en-US"/>
        </w:rPr>
        <w:t>ure</w:t>
      </w:r>
      <w:r w:rsidR="00F8235C">
        <w:rPr>
          <w:rFonts w:ascii="Arial" w:hAnsi="Arial" w:cs="Arial"/>
          <w:lang w:val="en-US"/>
        </w:rPr>
        <w:t xml:space="preserve"> after the RLF.</w:t>
      </w:r>
    </w:p>
    <w:p w14:paraId="260C939A" w14:textId="3BC1B7CB" w:rsidR="00F8235C" w:rsidRPr="00651D20" w:rsidRDefault="00F8235C" w:rsidP="00F8235C">
      <w:pPr>
        <w:pStyle w:val="Proposal"/>
        <w:rPr>
          <w:rFonts w:cs="Arial"/>
          <w:lang w:val="en-US"/>
        </w:rPr>
      </w:pPr>
      <w:bookmarkStart w:id="8" w:name="_Toc146873895"/>
      <w:r w:rsidRPr="00651D20">
        <w:rPr>
          <w:lang w:val="en-US"/>
        </w:rPr>
        <w:t>UE logs the</w:t>
      </w:r>
      <w:r w:rsidRPr="00D66DFB">
        <w:rPr>
          <w:i/>
          <w:iCs/>
          <w:lang w:val="en-US"/>
        </w:rPr>
        <w:t xml:space="preserve"> lbt-FailureRecoveryConfig</w:t>
      </w:r>
      <w:r w:rsidRPr="00651D20">
        <w:rPr>
          <w:lang w:val="en-US"/>
        </w:rPr>
        <w:t xml:space="preserve"> in the RLF-Report</w:t>
      </w:r>
      <w:r w:rsidR="004A07CF">
        <w:rPr>
          <w:lang w:val="en-US"/>
        </w:rPr>
        <w:t>,</w:t>
      </w:r>
      <w:r w:rsidRPr="00651D20">
        <w:rPr>
          <w:lang w:val="en-US"/>
        </w:rPr>
        <w:t xml:space="preserve"> </w:t>
      </w:r>
      <w:r w:rsidR="004D7F85">
        <w:rPr>
          <w:lang w:val="en-US"/>
        </w:rPr>
        <w:t>only in case of re-establishment procedure failure (i.e., when</w:t>
      </w:r>
      <w:r w:rsidR="000365EF">
        <w:rPr>
          <w:lang w:val="en-US"/>
        </w:rPr>
        <w:t xml:space="preserve"> UE</w:t>
      </w:r>
      <w:r w:rsidRPr="00651D20">
        <w:rPr>
          <w:lang w:val="en-US"/>
        </w:rPr>
        <w:t xml:space="preserve"> </w:t>
      </w:r>
      <w:r w:rsidR="004D7F85">
        <w:rPr>
          <w:lang w:val="en-US"/>
        </w:rPr>
        <w:t>performs transition</w:t>
      </w:r>
      <w:r w:rsidRPr="00651D20">
        <w:rPr>
          <w:lang w:val="en-US"/>
        </w:rPr>
        <w:t xml:space="preserve"> to </w:t>
      </w:r>
      <w:r w:rsidR="004D7F85">
        <w:rPr>
          <w:lang w:val="en-US"/>
        </w:rPr>
        <w:t>RRC_IDLE state)</w:t>
      </w:r>
      <w:r w:rsidRPr="00651D20">
        <w:rPr>
          <w:lang w:val="en-US"/>
        </w:rPr>
        <w:t>.</w:t>
      </w:r>
      <w:bookmarkEnd w:id="8"/>
    </w:p>
    <w:p w14:paraId="5A4BAB64" w14:textId="0DD28299" w:rsidR="009C7E49" w:rsidRDefault="00C83DDF" w:rsidP="004D7C4E">
      <w:pPr>
        <w:pStyle w:val="Heading3"/>
        <w:rPr>
          <w:lang w:val="en-US"/>
        </w:rPr>
      </w:pPr>
      <w:r>
        <w:rPr>
          <w:lang w:val="en-US"/>
        </w:rPr>
        <w:t>2.3 Enhancements to the SHR</w:t>
      </w:r>
    </w:p>
    <w:p w14:paraId="7E82382E" w14:textId="0328CF47" w:rsidR="001729F9" w:rsidRDefault="004A685A" w:rsidP="0027603D">
      <w:pPr>
        <w:rPr>
          <w:rFonts w:ascii="Arial" w:hAnsi="Arial" w:cs="Arial"/>
          <w:lang w:val="en-US"/>
        </w:rPr>
      </w:pPr>
      <w:r>
        <w:rPr>
          <w:rFonts w:ascii="Arial" w:hAnsi="Arial" w:cs="Arial"/>
          <w:lang w:val="en-US"/>
        </w:rPr>
        <w:t>S</w:t>
      </w:r>
      <w:r w:rsidR="00206303">
        <w:rPr>
          <w:rFonts w:ascii="Arial" w:hAnsi="Arial" w:cs="Arial"/>
          <w:lang w:val="en-US"/>
        </w:rPr>
        <w:t xml:space="preserve">imilar to the </w:t>
      </w:r>
      <w:r w:rsidR="001729F9">
        <w:rPr>
          <w:rFonts w:ascii="Arial" w:hAnsi="Arial" w:cs="Arial"/>
          <w:lang w:val="en-US"/>
        </w:rPr>
        <w:t>legacy SHR, RSSI measurements of source/target/neighbouring frequencies should be included.</w:t>
      </w:r>
      <w:r w:rsidR="00313A18">
        <w:rPr>
          <w:rFonts w:ascii="Arial" w:hAnsi="Arial" w:cs="Arial"/>
          <w:lang w:val="en-US"/>
        </w:rPr>
        <w:t xml:space="preserve"> In SHR, the source/target/neighbouring frequencies are always included</w:t>
      </w:r>
      <w:r w:rsidR="00CB1D9A">
        <w:rPr>
          <w:rFonts w:ascii="Arial" w:hAnsi="Arial" w:cs="Arial"/>
          <w:lang w:val="en-US"/>
        </w:rPr>
        <w:t xml:space="preserve"> irrespective of the SHR triggering condition. That is because in or</w:t>
      </w:r>
      <w:r w:rsidR="00DE0699">
        <w:rPr>
          <w:rFonts w:ascii="Arial" w:hAnsi="Arial" w:cs="Arial"/>
          <w:lang w:val="en-US"/>
        </w:rPr>
        <w:t xml:space="preserve">der to optimize the HO, and reduce the probability of possible RLF or performance degradation, the network has to evaluate </w:t>
      </w:r>
      <w:r w:rsidR="00CB35FE">
        <w:rPr>
          <w:rFonts w:ascii="Arial" w:hAnsi="Arial" w:cs="Arial"/>
          <w:lang w:val="en-US"/>
        </w:rPr>
        <w:t xml:space="preserve">the quality of neighbouring frequencies. For example, if SHR is generated due to T310 </w:t>
      </w:r>
      <w:r w:rsidR="00102B55">
        <w:rPr>
          <w:rFonts w:ascii="Arial" w:hAnsi="Arial" w:cs="Arial"/>
          <w:lang w:val="en-US"/>
        </w:rPr>
        <w:t>triggering condition, it could be that the source cell quality was not optimal; however</w:t>
      </w:r>
      <w:r w:rsidR="00265947">
        <w:rPr>
          <w:rFonts w:ascii="Arial" w:hAnsi="Arial" w:cs="Arial"/>
          <w:lang w:val="en-US"/>
        </w:rPr>
        <w:t>,</w:t>
      </w:r>
      <w:r w:rsidR="00102B55">
        <w:rPr>
          <w:rFonts w:ascii="Arial" w:hAnsi="Arial" w:cs="Arial"/>
          <w:lang w:val="en-US"/>
        </w:rPr>
        <w:t xml:space="preserve"> in order to</w:t>
      </w:r>
      <w:r w:rsidR="00590F84">
        <w:rPr>
          <w:rFonts w:ascii="Arial" w:hAnsi="Arial" w:cs="Arial"/>
          <w:lang w:val="en-US"/>
        </w:rPr>
        <w:t xml:space="preserve"> avoid this issue, e.g. taking the HO at an earlier point in time to another cell, the network </w:t>
      </w:r>
      <w:r w:rsidR="00265947">
        <w:rPr>
          <w:rFonts w:ascii="Arial" w:hAnsi="Arial" w:cs="Arial"/>
          <w:lang w:val="en-US"/>
        </w:rPr>
        <w:t>has to know</w:t>
      </w:r>
      <w:r w:rsidR="000E6A1F">
        <w:rPr>
          <w:rFonts w:ascii="Arial" w:hAnsi="Arial" w:cs="Arial"/>
          <w:lang w:val="en-US"/>
        </w:rPr>
        <w:t xml:space="preserve"> the quality of the target/neighbouring cells.</w:t>
      </w:r>
    </w:p>
    <w:p w14:paraId="31CBB07F" w14:textId="64AB9111" w:rsidR="000E6A1F" w:rsidRPr="00113BA8" w:rsidRDefault="002D000B" w:rsidP="002D000B">
      <w:pPr>
        <w:pStyle w:val="Proposal"/>
        <w:rPr>
          <w:lang w:val="en-US" w:eastAsia="ja-JP"/>
        </w:rPr>
      </w:pPr>
      <w:bookmarkStart w:id="9" w:name="_Toc146873896"/>
      <w:r w:rsidRPr="00113BA8">
        <w:rPr>
          <w:lang w:val="en-US" w:eastAsia="ja-JP"/>
        </w:rPr>
        <w:t xml:space="preserve">The SHR includes the RSSI measurements of the frequencies associated to the source/target/neighbouring cells, if the </w:t>
      </w:r>
      <w:r w:rsidRPr="008F2B21">
        <w:rPr>
          <w:i/>
          <w:iCs/>
          <w:lang w:val="en-US" w:eastAsia="ja-JP"/>
        </w:rPr>
        <w:t>measRSSI-ReportConfig</w:t>
      </w:r>
      <w:r w:rsidRPr="00113BA8">
        <w:rPr>
          <w:lang w:val="en-US" w:eastAsia="ja-JP"/>
        </w:rPr>
        <w:t xml:space="preserve"> is configured for those frequencies</w:t>
      </w:r>
      <w:r w:rsidR="004B57A4" w:rsidRPr="00113BA8">
        <w:rPr>
          <w:lang w:val="en-US" w:eastAsia="ja-JP"/>
        </w:rPr>
        <w:t>.</w:t>
      </w:r>
      <w:bookmarkEnd w:id="9"/>
    </w:p>
    <w:p w14:paraId="7026E527" w14:textId="39A98E10" w:rsidR="00C01F33" w:rsidRPr="00CE0424" w:rsidRDefault="00846E65" w:rsidP="00CE0424">
      <w:pPr>
        <w:pStyle w:val="Heading1"/>
      </w:pPr>
      <w:r>
        <w:lastRenderedPageBreak/>
        <w:t>3</w:t>
      </w:r>
      <w:r>
        <w:tab/>
      </w:r>
      <w:r w:rsidR="00C01F33" w:rsidRPr="00CE0424">
        <w:t>Conclusion</w:t>
      </w:r>
    </w:p>
    <w:p w14:paraId="1F31F00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2A21980" w14:textId="56BAD480" w:rsidR="00417415" w:rsidRDefault="006F6582">
      <w:pPr>
        <w:pStyle w:val="TableofFigures"/>
        <w:tabs>
          <w:tab w:val="right" w:pos="9629"/>
        </w:tabs>
        <w:rPr>
          <w:rFonts w:asciiTheme="minorHAnsi" w:eastAsiaTheme="minorEastAsia" w:hAnsiTheme="minorHAnsi" w:cstheme="minorBidi"/>
          <w:b w:val="0"/>
          <w:noProof/>
          <w:sz w:val="22"/>
          <w:szCs w:val="22"/>
          <w:lang w:val="en-SE" w:eastAsia="en-SE"/>
        </w:rPr>
      </w:pPr>
      <w:r>
        <w:rPr>
          <w:b w:val="0"/>
          <w:lang w:eastAsia="ja-JP"/>
        </w:rPr>
        <w:fldChar w:fldCharType="begin"/>
      </w:r>
      <w:r w:rsidRPr="006543C0">
        <w:rPr>
          <w:b w:val="0"/>
        </w:rPr>
        <w:instrText xml:space="preserve"> TOC \f O \n \h \z \t "Observation" \c </w:instrText>
      </w:r>
      <w:r>
        <w:rPr>
          <w:b w:val="0"/>
          <w:lang w:eastAsia="ja-JP"/>
        </w:rPr>
        <w:fldChar w:fldCharType="separate"/>
      </w:r>
      <w:hyperlink w:anchor="_Toc146873897" w:history="1">
        <w:r w:rsidR="00417415" w:rsidRPr="00985435">
          <w:rPr>
            <w:rStyle w:val="Hyperlink"/>
            <w:rFonts w:cs="Arial"/>
            <w:noProof/>
            <w:lang w:val="en-US"/>
          </w:rPr>
          <w:t>Observation 1</w:t>
        </w:r>
        <w:r w:rsidR="00417415">
          <w:rPr>
            <w:rFonts w:asciiTheme="minorHAnsi" w:eastAsiaTheme="minorEastAsia" w:hAnsiTheme="minorHAnsi" w:cstheme="minorBidi"/>
            <w:b w:val="0"/>
            <w:noProof/>
            <w:sz w:val="22"/>
            <w:szCs w:val="22"/>
            <w:lang w:val="en-SE" w:eastAsia="en-SE"/>
          </w:rPr>
          <w:tab/>
        </w:r>
        <w:r w:rsidR="00417415" w:rsidRPr="00985435">
          <w:rPr>
            <w:rStyle w:val="Hyperlink"/>
            <w:noProof/>
            <w:lang w:val="en-US"/>
          </w:rPr>
          <w:t>According to RAN3, a network-based solution to store LBT-Recovery config would be limiting network functionality and thus less practical in particular when re-establishment procedure fails.</w:t>
        </w:r>
      </w:hyperlink>
    </w:p>
    <w:p w14:paraId="53EAFDB5" w14:textId="4FB926EE" w:rsidR="00A33276" w:rsidRDefault="006F6582" w:rsidP="00A33276">
      <w:pPr>
        <w:pStyle w:val="BodyText"/>
        <w:rPr>
          <w:rFonts w:cs="Arial"/>
        </w:rPr>
      </w:pPr>
      <w:r>
        <w:rPr>
          <w:b/>
          <w:bCs/>
        </w:rPr>
        <w:fldChar w:fldCharType="end"/>
      </w:r>
      <w:r w:rsidR="00A33276">
        <w:rPr>
          <w:rFonts w:cs="Arial"/>
        </w:rPr>
        <w:t>Based on the discussion in the previous sections we propose the following:</w:t>
      </w:r>
    </w:p>
    <w:p w14:paraId="5447599E" w14:textId="39AFA6BF" w:rsidR="00417415" w:rsidRDefault="00A33276">
      <w:pPr>
        <w:pStyle w:val="TableofFigures"/>
        <w:tabs>
          <w:tab w:val="right" w:leader="dot" w:pos="9629"/>
        </w:tabs>
        <w:rPr>
          <w:rFonts w:asciiTheme="minorHAnsi" w:eastAsiaTheme="minorEastAsia" w:hAnsiTheme="minorHAnsi" w:cstheme="minorBidi"/>
          <w:b w:val="0"/>
          <w:noProof/>
          <w:sz w:val="22"/>
          <w:szCs w:val="22"/>
          <w:lang w:val="en-SE" w:eastAsia="en-SE"/>
        </w:rPr>
      </w:pPr>
      <w:r>
        <w:rPr>
          <w:rFonts w:cs="Arial"/>
          <w:b w:val="0"/>
          <w:bCs/>
          <w:lang w:val="en-US"/>
        </w:rPr>
        <w:fldChar w:fldCharType="begin"/>
      </w:r>
      <w:r>
        <w:rPr>
          <w:rFonts w:cs="Arial"/>
          <w:b w:val="0"/>
          <w:bCs/>
          <w:lang w:val="en-US"/>
        </w:rPr>
        <w:instrText xml:space="preserve"> TOC \n \h \z \t "Proposal" \c </w:instrText>
      </w:r>
      <w:r>
        <w:rPr>
          <w:rFonts w:cs="Arial"/>
          <w:b w:val="0"/>
          <w:bCs/>
          <w:lang w:val="en-US"/>
        </w:rPr>
        <w:fldChar w:fldCharType="separate"/>
      </w:r>
      <w:hyperlink w:anchor="_Toc146873889" w:history="1">
        <w:r w:rsidR="00417415" w:rsidRPr="001B5361">
          <w:rPr>
            <w:rStyle w:val="Hyperlink"/>
            <w:noProof/>
            <w:lang w:val="en-US"/>
          </w:rPr>
          <w:t>Proposal 1</w:t>
        </w:r>
        <w:r w:rsidR="00417415">
          <w:rPr>
            <w:rFonts w:asciiTheme="minorHAnsi" w:eastAsiaTheme="minorEastAsia" w:hAnsiTheme="minorHAnsi" w:cstheme="minorBidi"/>
            <w:b w:val="0"/>
            <w:noProof/>
            <w:sz w:val="22"/>
            <w:szCs w:val="22"/>
            <w:lang w:val="en-SE" w:eastAsia="en-SE"/>
          </w:rPr>
          <w:tab/>
        </w:r>
        <w:r w:rsidR="00417415" w:rsidRPr="001B5361">
          <w:rPr>
            <w:rStyle w:val="Hyperlink"/>
            <w:noProof/>
            <w:lang w:val="en-US"/>
          </w:rPr>
          <w:t>A new field is introduced to count the number of preamble transmissions blocked by LBT per RA procedure.</w:t>
        </w:r>
      </w:hyperlink>
    </w:p>
    <w:p w14:paraId="5045EE12" w14:textId="736E6F6C" w:rsidR="00417415" w:rsidRDefault="008024F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73890" w:history="1">
        <w:r w:rsidR="00417415" w:rsidRPr="001B5361">
          <w:rPr>
            <w:rStyle w:val="Hyperlink"/>
            <w:noProof/>
            <w:lang w:val="en-US"/>
          </w:rPr>
          <w:t>Proposal 2</w:t>
        </w:r>
        <w:r w:rsidR="00417415">
          <w:rPr>
            <w:rFonts w:asciiTheme="minorHAnsi" w:eastAsiaTheme="minorEastAsia" w:hAnsiTheme="minorHAnsi" w:cstheme="minorBidi"/>
            <w:b w:val="0"/>
            <w:noProof/>
            <w:sz w:val="22"/>
            <w:szCs w:val="22"/>
            <w:lang w:val="en-SE" w:eastAsia="en-SE"/>
          </w:rPr>
          <w:tab/>
        </w:r>
        <w:r w:rsidR="00417415" w:rsidRPr="001B5361">
          <w:rPr>
            <w:rStyle w:val="Hyperlink"/>
            <w:noProof/>
            <w:lang w:val="en-US"/>
          </w:rPr>
          <w:t xml:space="preserve">In </w:t>
        </w:r>
        <w:r w:rsidR="00417415" w:rsidRPr="001B5361">
          <w:rPr>
            <w:rStyle w:val="Hyperlink"/>
            <w:rFonts w:eastAsia="DengXian" w:cs="Arial"/>
            <w:noProof/>
            <w:lang w:val="en-US"/>
          </w:rPr>
          <w:t>case all the successive LBT preamble transmissions in a beam are stopped by LBT failures, it is left to the UE implementation how to set the numberOfPreamblesSentOnSSB/numberOfPreamblesSentOnCSI-RS.</w:t>
        </w:r>
      </w:hyperlink>
    </w:p>
    <w:p w14:paraId="25CB030E" w14:textId="40D05D19" w:rsidR="00417415" w:rsidRDefault="008024F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73891" w:history="1">
        <w:r w:rsidR="00417415" w:rsidRPr="001B5361">
          <w:rPr>
            <w:rStyle w:val="Hyperlink"/>
            <w:noProof/>
            <w:lang w:val="en-US"/>
          </w:rPr>
          <w:t>Proposal 3</w:t>
        </w:r>
        <w:r w:rsidR="00417415">
          <w:rPr>
            <w:rFonts w:asciiTheme="minorHAnsi" w:eastAsiaTheme="minorEastAsia" w:hAnsiTheme="minorHAnsi" w:cstheme="minorBidi"/>
            <w:b w:val="0"/>
            <w:noProof/>
            <w:sz w:val="22"/>
            <w:szCs w:val="22"/>
            <w:lang w:val="en-SE" w:eastAsia="en-SE"/>
          </w:rPr>
          <w:tab/>
        </w:r>
        <w:r w:rsidR="00417415" w:rsidRPr="001B5361">
          <w:rPr>
            <w:rStyle w:val="Hyperlink"/>
            <w:rFonts w:eastAsia="DengXian" w:cs="Arial"/>
            <w:noProof/>
            <w:lang w:val="en-US"/>
          </w:rPr>
          <w:t>RAN2 to discuss how the UE should inform the network that all the preamble transmission attempts in a beam were blocked by LBT.</w:t>
        </w:r>
      </w:hyperlink>
    </w:p>
    <w:p w14:paraId="7840F3BE" w14:textId="010C77CB" w:rsidR="00417415" w:rsidRDefault="008024F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73892" w:history="1">
        <w:r w:rsidR="00417415" w:rsidRPr="001B5361">
          <w:rPr>
            <w:rStyle w:val="Hyperlink"/>
            <w:noProof/>
            <w:lang w:val="en-US"/>
          </w:rPr>
          <w:t>Proposal 4</w:t>
        </w:r>
        <w:r w:rsidR="00417415">
          <w:rPr>
            <w:rFonts w:asciiTheme="minorHAnsi" w:eastAsiaTheme="minorEastAsia" w:hAnsiTheme="minorHAnsi" w:cstheme="minorBidi"/>
            <w:b w:val="0"/>
            <w:noProof/>
            <w:sz w:val="22"/>
            <w:szCs w:val="22"/>
            <w:lang w:val="en-SE" w:eastAsia="en-SE"/>
          </w:rPr>
          <w:tab/>
        </w:r>
        <w:r w:rsidR="00417415" w:rsidRPr="001B5361">
          <w:rPr>
            <w:rStyle w:val="Hyperlink"/>
            <w:noProof/>
            <w:lang w:val="en-US"/>
          </w:rPr>
          <w:t xml:space="preserve">The UE includes in the RLF-Report the </w:t>
        </w:r>
        <w:r w:rsidR="00417415" w:rsidRPr="001B5361">
          <w:rPr>
            <w:rStyle w:val="Hyperlink"/>
            <w:rFonts w:eastAsia="DengXian" w:cs="Arial"/>
            <w:i/>
            <w:iCs/>
            <w:noProof/>
          </w:rPr>
          <w:t>locationAndBandwidth</w:t>
        </w:r>
        <w:r w:rsidR="00417415" w:rsidRPr="001B5361">
          <w:rPr>
            <w:rStyle w:val="Hyperlink"/>
            <w:rFonts w:eastAsia="DengXian" w:cs="Arial"/>
            <w:noProof/>
          </w:rPr>
          <w:t xml:space="preserve">, and the </w:t>
        </w:r>
        <w:r w:rsidR="00417415" w:rsidRPr="001B5361">
          <w:rPr>
            <w:rStyle w:val="Hyperlink"/>
            <w:rFonts w:eastAsia="DengXian" w:cs="Arial"/>
            <w:i/>
            <w:iCs/>
            <w:noProof/>
          </w:rPr>
          <w:t>subcarrierSpacing</w:t>
        </w:r>
        <w:r w:rsidR="00417415" w:rsidRPr="001B5361">
          <w:rPr>
            <w:rStyle w:val="Hyperlink"/>
            <w:rFonts w:eastAsia="DengXian" w:cs="Arial"/>
            <w:noProof/>
          </w:rPr>
          <w:t xml:space="preserve"> of all the BWPs in which the UE experienced the </w:t>
        </w:r>
        <w:r w:rsidR="00417415" w:rsidRPr="001B5361">
          <w:rPr>
            <w:rStyle w:val="Hyperlink"/>
            <w:noProof/>
            <w:lang w:val="en-US"/>
          </w:rPr>
          <w:t>consistent UL LBT failures prior the RLF/HOF.</w:t>
        </w:r>
      </w:hyperlink>
    </w:p>
    <w:p w14:paraId="6ED3C10C" w14:textId="2CC7F35E" w:rsidR="00417415" w:rsidRDefault="008024F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73893" w:history="1">
        <w:r w:rsidR="00417415" w:rsidRPr="001B5361">
          <w:rPr>
            <w:rStyle w:val="Hyperlink"/>
            <w:noProof/>
            <w:lang w:val="en-US"/>
          </w:rPr>
          <w:t>Proposal 5</w:t>
        </w:r>
        <w:r w:rsidR="00417415">
          <w:rPr>
            <w:rFonts w:asciiTheme="minorHAnsi" w:eastAsiaTheme="minorEastAsia" w:hAnsiTheme="minorHAnsi" w:cstheme="minorBidi"/>
            <w:b w:val="0"/>
            <w:noProof/>
            <w:sz w:val="22"/>
            <w:szCs w:val="22"/>
            <w:lang w:val="en-SE" w:eastAsia="en-SE"/>
          </w:rPr>
          <w:tab/>
        </w:r>
        <w:r w:rsidR="00417415" w:rsidRPr="001B5361">
          <w:rPr>
            <w:rStyle w:val="Hyperlink"/>
            <w:rFonts w:cs="Arial"/>
            <w:noProof/>
          </w:rPr>
          <w:t xml:space="preserve">The RSSI measurement results of the frequency associated to the last serving cell are included in the RLF-Report for the source PCell (in case of HO failure) and for the PCell (in case of RLF), if the </w:t>
        </w:r>
        <w:r w:rsidR="00417415" w:rsidRPr="001B5361">
          <w:rPr>
            <w:rStyle w:val="Hyperlink"/>
            <w:rFonts w:cs="Arial"/>
            <w:i/>
            <w:iCs/>
            <w:noProof/>
          </w:rPr>
          <w:t>measRSSI-ReportConfig</w:t>
        </w:r>
        <w:r w:rsidR="00417415" w:rsidRPr="001B5361">
          <w:rPr>
            <w:rStyle w:val="Hyperlink"/>
            <w:rFonts w:cs="Arial"/>
            <w:noProof/>
          </w:rPr>
          <w:t xml:space="preserve"> is configured for such frequency.</w:t>
        </w:r>
      </w:hyperlink>
    </w:p>
    <w:p w14:paraId="4CA1E178" w14:textId="07E8B8F0" w:rsidR="00417415" w:rsidRDefault="008024F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73894" w:history="1">
        <w:r w:rsidR="00417415" w:rsidRPr="001B5361">
          <w:rPr>
            <w:rStyle w:val="Hyperlink"/>
            <w:noProof/>
            <w:lang w:val="en-US"/>
          </w:rPr>
          <w:t>Proposal 6</w:t>
        </w:r>
        <w:r w:rsidR="00417415">
          <w:rPr>
            <w:rFonts w:asciiTheme="minorHAnsi" w:eastAsiaTheme="minorEastAsia" w:hAnsiTheme="minorHAnsi" w:cstheme="minorBidi"/>
            <w:b w:val="0"/>
            <w:noProof/>
            <w:sz w:val="22"/>
            <w:szCs w:val="22"/>
            <w:lang w:val="en-SE" w:eastAsia="en-SE"/>
          </w:rPr>
          <w:tab/>
        </w:r>
        <w:r w:rsidR="00417415" w:rsidRPr="001B5361">
          <w:rPr>
            <w:rStyle w:val="Hyperlink"/>
            <w:rFonts w:cs="Arial"/>
            <w:noProof/>
          </w:rPr>
          <w:t xml:space="preserve">The UE includes in the RLF-Report the available RSSI measurement results of the frequencies associated to the neighbouring cells other than the source PCell (in case of HO failure) or PCell (in case of RLF), if the </w:t>
        </w:r>
        <w:r w:rsidR="00417415" w:rsidRPr="001B5361">
          <w:rPr>
            <w:rStyle w:val="Hyperlink"/>
            <w:rFonts w:cs="Arial"/>
            <w:i/>
            <w:iCs/>
            <w:noProof/>
          </w:rPr>
          <w:t>measRSSI-ReportConfig</w:t>
        </w:r>
        <w:r w:rsidR="00417415" w:rsidRPr="001B5361">
          <w:rPr>
            <w:rStyle w:val="Hyperlink"/>
            <w:rFonts w:cs="Arial"/>
            <w:noProof/>
          </w:rPr>
          <w:t xml:space="preserve"> is configured for such frequencies.</w:t>
        </w:r>
      </w:hyperlink>
    </w:p>
    <w:p w14:paraId="79539906" w14:textId="0538878F" w:rsidR="00417415" w:rsidRDefault="008024F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73895" w:history="1">
        <w:r w:rsidR="00417415" w:rsidRPr="001B5361">
          <w:rPr>
            <w:rStyle w:val="Hyperlink"/>
            <w:rFonts w:cs="Arial"/>
            <w:noProof/>
            <w:lang w:val="en-US"/>
          </w:rPr>
          <w:t>Proposal 7</w:t>
        </w:r>
        <w:r w:rsidR="00417415">
          <w:rPr>
            <w:rFonts w:asciiTheme="minorHAnsi" w:eastAsiaTheme="minorEastAsia" w:hAnsiTheme="minorHAnsi" w:cstheme="minorBidi"/>
            <w:b w:val="0"/>
            <w:noProof/>
            <w:sz w:val="22"/>
            <w:szCs w:val="22"/>
            <w:lang w:val="en-SE" w:eastAsia="en-SE"/>
          </w:rPr>
          <w:tab/>
        </w:r>
        <w:r w:rsidR="00417415" w:rsidRPr="001B5361">
          <w:rPr>
            <w:rStyle w:val="Hyperlink"/>
            <w:noProof/>
            <w:lang w:val="en-US"/>
          </w:rPr>
          <w:t>UE logs the</w:t>
        </w:r>
        <w:r w:rsidR="00417415" w:rsidRPr="001B5361">
          <w:rPr>
            <w:rStyle w:val="Hyperlink"/>
            <w:i/>
            <w:iCs/>
            <w:noProof/>
            <w:lang w:val="en-US"/>
          </w:rPr>
          <w:t xml:space="preserve"> lbt-FailureRecoveryConfig</w:t>
        </w:r>
        <w:r w:rsidR="00417415" w:rsidRPr="001B5361">
          <w:rPr>
            <w:rStyle w:val="Hyperlink"/>
            <w:noProof/>
            <w:lang w:val="en-US"/>
          </w:rPr>
          <w:t xml:space="preserve"> in the RLF-Report, only in case of re-establishment procedure failure (i.e., when UE performs transition to RRC_IDLE state).</w:t>
        </w:r>
      </w:hyperlink>
    </w:p>
    <w:p w14:paraId="1722729E" w14:textId="1675F7C3" w:rsidR="00417415" w:rsidRDefault="008024F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73896" w:history="1">
        <w:r w:rsidR="00417415" w:rsidRPr="001B5361">
          <w:rPr>
            <w:rStyle w:val="Hyperlink"/>
            <w:noProof/>
            <w:lang w:val="en-US" w:eastAsia="ja-JP"/>
          </w:rPr>
          <w:t>Proposal 8</w:t>
        </w:r>
        <w:r w:rsidR="00417415">
          <w:rPr>
            <w:rFonts w:asciiTheme="minorHAnsi" w:eastAsiaTheme="minorEastAsia" w:hAnsiTheme="minorHAnsi" w:cstheme="minorBidi"/>
            <w:b w:val="0"/>
            <w:noProof/>
            <w:sz w:val="22"/>
            <w:szCs w:val="22"/>
            <w:lang w:val="en-SE" w:eastAsia="en-SE"/>
          </w:rPr>
          <w:tab/>
        </w:r>
        <w:r w:rsidR="00417415" w:rsidRPr="001B5361">
          <w:rPr>
            <w:rStyle w:val="Hyperlink"/>
            <w:noProof/>
            <w:lang w:val="en-US" w:eastAsia="ja-JP"/>
          </w:rPr>
          <w:t xml:space="preserve">The SHR includes the RSSI measurements of the frequencies associated to the source/target/neighbouring cells, if the </w:t>
        </w:r>
        <w:r w:rsidR="00417415" w:rsidRPr="001B5361">
          <w:rPr>
            <w:rStyle w:val="Hyperlink"/>
            <w:i/>
            <w:iCs/>
            <w:noProof/>
            <w:lang w:val="en-US" w:eastAsia="ja-JP"/>
          </w:rPr>
          <w:t>measRSSI-ReportConfig</w:t>
        </w:r>
        <w:r w:rsidR="00417415" w:rsidRPr="001B5361">
          <w:rPr>
            <w:rStyle w:val="Hyperlink"/>
            <w:noProof/>
            <w:lang w:val="en-US" w:eastAsia="ja-JP"/>
          </w:rPr>
          <w:t xml:space="preserve"> is configured for those frequencies.</w:t>
        </w:r>
      </w:hyperlink>
    </w:p>
    <w:p w14:paraId="0089C6DB" w14:textId="1F93DF8F" w:rsidR="00C01F33" w:rsidRPr="00B11B74" w:rsidRDefault="00A33276" w:rsidP="00B11B74">
      <w:pPr>
        <w:pStyle w:val="BodyText"/>
        <w:rPr>
          <w:b/>
          <w:bCs/>
        </w:rPr>
      </w:pPr>
      <w:r>
        <w:rPr>
          <w:rFonts w:cs="Arial"/>
          <w:b/>
          <w:bCs/>
          <w:lang w:val="en-US"/>
        </w:rPr>
        <w:fldChar w:fldCharType="end"/>
      </w:r>
    </w:p>
    <w:p w14:paraId="2904AB93" w14:textId="0A445A3F" w:rsidR="007679EA" w:rsidRPr="007679EA" w:rsidRDefault="002E26A6" w:rsidP="007679EA">
      <w:pPr>
        <w:pStyle w:val="Heading1"/>
      </w:pPr>
      <w:bookmarkStart w:id="10" w:name="_In-sequence_SDU_delivery"/>
      <w:bookmarkEnd w:id="10"/>
      <w:r>
        <w:t>4</w:t>
      </w:r>
      <w:r>
        <w:tab/>
        <w:t>Re</w:t>
      </w:r>
      <w:r w:rsidR="007679EA">
        <w:t>ferences</w:t>
      </w:r>
    </w:p>
    <w:p w14:paraId="12995CEA" w14:textId="3C6FD8E8" w:rsidR="009124B4" w:rsidRDefault="00DB2669" w:rsidP="007679EA">
      <w:pPr>
        <w:pStyle w:val="Reference"/>
        <w:numPr>
          <w:ilvl w:val="0"/>
          <w:numId w:val="16"/>
        </w:numPr>
        <w:textAlignment w:val="auto"/>
      </w:pPr>
      <w:bookmarkStart w:id="11" w:name="_Ref134717719"/>
      <w:r w:rsidRPr="00805A8C">
        <w:t xml:space="preserve">R3-225241, </w:t>
      </w:r>
      <w:r w:rsidR="009124B4" w:rsidRPr="00805A8C">
        <w:t>LS on NR-U support for MRO</w:t>
      </w:r>
      <w:r w:rsidR="00805A8C" w:rsidRPr="00805A8C">
        <w:t>, 3GPP TSG-RAN WG2 #117-e</w:t>
      </w:r>
      <w:bookmarkEnd w:id="11"/>
    </w:p>
    <w:bookmarkStart w:id="12" w:name="_Ref141172830"/>
    <w:bookmarkStart w:id="13" w:name="_Ref132293176"/>
    <w:p w14:paraId="0167CBEF" w14:textId="22F842E9" w:rsidR="00B23E6B" w:rsidRDefault="00B23E6B" w:rsidP="00B23E6B">
      <w:pPr>
        <w:pStyle w:val="Reference"/>
        <w:numPr>
          <w:ilvl w:val="0"/>
          <w:numId w:val="16"/>
        </w:numPr>
        <w:textAlignment w:val="auto"/>
      </w:pPr>
      <w:r>
        <w:fldChar w:fldCharType="begin"/>
      </w:r>
      <w:r>
        <w:instrText xml:space="preserve"> HYPERLINK "https://www.3gpp.org/ftp/tsg_ran/WG2_RL2/TSGR2_122/Docs/R2-2305424.zip" </w:instrText>
      </w:r>
      <w:r>
        <w:fldChar w:fldCharType="separate"/>
      </w:r>
      <w:r>
        <w:t>R2-2305424</w:t>
      </w:r>
      <w:r>
        <w:fldChar w:fldCharType="end"/>
      </w:r>
      <w:r>
        <w:t xml:space="preserve">, </w:t>
      </w:r>
      <w:hyperlink r:id="rId11" w:history="1">
        <w:r>
          <w:t>Discussion on SON for NR-U</w:t>
        </w:r>
      </w:hyperlink>
      <w:r>
        <w:t>, Nokia, Nokia Shanghai Bell</w:t>
      </w:r>
      <w:bookmarkEnd w:id="12"/>
      <w:bookmarkEnd w:id="13"/>
    </w:p>
    <w:p w14:paraId="03316633" w14:textId="77777777" w:rsidR="00AF1F29" w:rsidRPr="00FD78E1" w:rsidRDefault="00AF1F29" w:rsidP="00AF1F29">
      <w:pPr>
        <w:pStyle w:val="Header"/>
      </w:pPr>
    </w:p>
    <w:sectPr w:rsidR="00AF1F29" w:rsidRPr="00FD78E1"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F73FF" w14:textId="77777777" w:rsidR="00BF4955" w:rsidRDefault="00BF4955">
      <w:r>
        <w:separator/>
      </w:r>
    </w:p>
  </w:endnote>
  <w:endnote w:type="continuationSeparator" w:id="0">
    <w:p w14:paraId="68D49C90" w14:textId="77777777" w:rsidR="00BF4955" w:rsidRDefault="00BF4955">
      <w:r>
        <w:continuationSeparator/>
      </w:r>
    </w:p>
  </w:endnote>
  <w:endnote w:type="continuationNotice" w:id="1">
    <w:p w14:paraId="41F3E2F0" w14:textId="77777777" w:rsidR="00BF4955" w:rsidRDefault="00BF49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F7D14" w14:textId="77777777" w:rsidR="00D32C1E" w:rsidRDefault="00D32C1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0981B" w14:textId="77777777" w:rsidR="00BF4955" w:rsidRDefault="00BF4955">
      <w:r>
        <w:separator/>
      </w:r>
    </w:p>
  </w:footnote>
  <w:footnote w:type="continuationSeparator" w:id="0">
    <w:p w14:paraId="3DAECBEF" w14:textId="77777777" w:rsidR="00BF4955" w:rsidRDefault="00BF4955">
      <w:r>
        <w:continuationSeparator/>
      </w:r>
    </w:p>
  </w:footnote>
  <w:footnote w:type="continuationNotice" w:id="1">
    <w:p w14:paraId="258560EA" w14:textId="77777777" w:rsidR="00BF4955" w:rsidRDefault="00BF49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809BC" w14:textId="77777777" w:rsidR="00D32C1E" w:rsidRDefault="00D32C1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D5F243D8">
      <w:start w:val="1"/>
      <w:numFmt w:val="lowerRoman"/>
      <w:pStyle w:val="ListNumber3"/>
      <w:lvlText w:val="%1."/>
      <w:lvlJc w:val="right"/>
      <w:pPr>
        <w:ind w:left="926" w:hanging="360"/>
      </w:pPr>
    </w:lvl>
    <w:lvl w:ilvl="1" w:tplc="45EA8BF0">
      <w:numFmt w:val="decimal"/>
      <w:lvlText w:val=""/>
      <w:lvlJc w:val="left"/>
    </w:lvl>
    <w:lvl w:ilvl="2" w:tplc="FBD81F44">
      <w:numFmt w:val="decimal"/>
      <w:lvlText w:val=""/>
      <w:lvlJc w:val="left"/>
    </w:lvl>
    <w:lvl w:ilvl="3" w:tplc="CF602318">
      <w:numFmt w:val="decimal"/>
      <w:lvlText w:val=""/>
      <w:lvlJc w:val="left"/>
    </w:lvl>
    <w:lvl w:ilvl="4" w:tplc="C6600A4C">
      <w:numFmt w:val="decimal"/>
      <w:lvlText w:val=""/>
      <w:lvlJc w:val="left"/>
    </w:lvl>
    <w:lvl w:ilvl="5" w:tplc="8924D288">
      <w:numFmt w:val="decimal"/>
      <w:lvlText w:val=""/>
      <w:lvlJc w:val="left"/>
    </w:lvl>
    <w:lvl w:ilvl="6" w:tplc="63FC3666">
      <w:numFmt w:val="decimal"/>
      <w:lvlText w:val=""/>
      <w:lvlJc w:val="left"/>
    </w:lvl>
    <w:lvl w:ilvl="7" w:tplc="65BAFA00">
      <w:numFmt w:val="decimal"/>
      <w:lvlText w:val=""/>
      <w:lvlJc w:val="left"/>
    </w:lvl>
    <w:lvl w:ilvl="8" w:tplc="633689B0">
      <w:numFmt w:val="decimal"/>
      <w:lvlText w:val=""/>
      <w:lvlJc w:val="left"/>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4EA1684"/>
    <w:multiLevelType w:val="hybridMultilevel"/>
    <w:tmpl w:val="721AB24A"/>
    <w:lvl w:ilvl="0" w:tplc="055611A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A9F7E71"/>
    <w:multiLevelType w:val="multilevel"/>
    <w:tmpl w:val="1A9F7E71"/>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4764D78"/>
    <w:multiLevelType w:val="hybridMultilevel"/>
    <w:tmpl w:val="6638D0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38BA6DBB"/>
    <w:multiLevelType w:val="multilevel"/>
    <w:tmpl w:val="38BA6D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0AB2BD64"/>
    <w:lvl w:ilvl="0" w:tplc="489869D4">
      <w:start w:val="1"/>
      <w:numFmt w:val="decimal"/>
      <w:pStyle w:val="Proposal"/>
      <w:lvlText w:val="Proposal %1"/>
      <w:lvlJc w:val="left"/>
      <w:pPr>
        <w:tabs>
          <w:tab w:val="num" w:pos="1304"/>
        </w:tabs>
        <w:ind w:left="1304" w:hanging="1304"/>
      </w:pPr>
      <w:rPr>
        <w:rFonts w:hint="default"/>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B0E8677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5CAF6283"/>
    <w:multiLevelType w:val="hybridMultilevel"/>
    <w:tmpl w:val="3A66D3BE"/>
    <w:lvl w:ilvl="0" w:tplc="20000017">
      <w:start w:val="1"/>
      <w:numFmt w:val="lowerLetter"/>
      <w:lvlText w:val="%1)"/>
      <w:lvlJc w:val="left"/>
      <w:pPr>
        <w:ind w:left="778" w:hanging="360"/>
      </w:pPr>
      <w:rPr>
        <w:rFonts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866675250">
    <w:abstractNumId w:val="10"/>
  </w:num>
  <w:num w:numId="2" w16cid:durableId="300304933">
    <w:abstractNumId w:val="0"/>
  </w:num>
  <w:num w:numId="3" w16cid:durableId="911547873">
    <w:abstractNumId w:val="12"/>
  </w:num>
  <w:num w:numId="4" w16cid:durableId="946278099">
    <w:abstractNumId w:val="13"/>
  </w:num>
  <w:num w:numId="5" w16cid:durableId="908425001">
    <w:abstractNumId w:val="4"/>
  </w:num>
  <w:num w:numId="6" w16cid:durableId="1824659815">
    <w:abstractNumId w:val="5"/>
  </w:num>
  <w:num w:numId="7" w16cid:durableId="1857037197">
    <w:abstractNumId w:val="1"/>
  </w:num>
  <w:num w:numId="8" w16cid:durableId="1652056115">
    <w:abstractNumId w:val="16"/>
  </w:num>
  <w:num w:numId="9" w16cid:durableId="1276400069">
    <w:abstractNumId w:val="6"/>
  </w:num>
  <w:num w:numId="10" w16cid:durableId="40983249">
    <w:abstractNumId w:val="15"/>
  </w:num>
  <w:num w:numId="11" w16cid:durableId="17931316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05510972">
    <w:abstractNumId w:val="9"/>
    <w:lvlOverride w:ilvl="0">
      <w:startOverride w:val="1"/>
    </w:lvlOverride>
  </w:num>
  <w:num w:numId="13" w16cid:durableId="593559562">
    <w:abstractNumId w:val="2"/>
  </w:num>
  <w:num w:numId="14" w16cid:durableId="1967924357">
    <w:abstractNumId w:val="7"/>
  </w:num>
  <w:num w:numId="15" w16cid:durableId="1310523486">
    <w:abstractNumId w:val="17"/>
  </w:num>
  <w:num w:numId="16" w16cid:durableId="7224088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46204551">
    <w:abstractNumId w:val="14"/>
  </w:num>
  <w:num w:numId="18" w16cid:durableId="1762677151">
    <w:abstractNumId w:val="8"/>
  </w:num>
  <w:num w:numId="19" w16cid:durableId="1674525516">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it-IT"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355"/>
    <w:rsid w:val="0000060C"/>
    <w:rsid w:val="000006E1"/>
    <w:rsid w:val="00000858"/>
    <w:rsid w:val="00000962"/>
    <w:rsid w:val="00000A01"/>
    <w:rsid w:val="00000BFA"/>
    <w:rsid w:val="0000203B"/>
    <w:rsid w:val="00002065"/>
    <w:rsid w:val="00002147"/>
    <w:rsid w:val="000029E5"/>
    <w:rsid w:val="00002A37"/>
    <w:rsid w:val="00002A88"/>
    <w:rsid w:val="00003327"/>
    <w:rsid w:val="00003734"/>
    <w:rsid w:val="00003987"/>
    <w:rsid w:val="000042F6"/>
    <w:rsid w:val="00004442"/>
    <w:rsid w:val="00004648"/>
    <w:rsid w:val="00004906"/>
    <w:rsid w:val="0000504B"/>
    <w:rsid w:val="0000564C"/>
    <w:rsid w:val="00006446"/>
    <w:rsid w:val="0000684F"/>
    <w:rsid w:val="00006896"/>
    <w:rsid w:val="00006C15"/>
    <w:rsid w:val="00006C6A"/>
    <w:rsid w:val="00006FE1"/>
    <w:rsid w:val="00007C95"/>
    <w:rsid w:val="00007CD8"/>
    <w:rsid w:val="00007CDC"/>
    <w:rsid w:val="00007CEA"/>
    <w:rsid w:val="00007F79"/>
    <w:rsid w:val="0001009C"/>
    <w:rsid w:val="000106F3"/>
    <w:rsid w:val="00010787"/>
    <w:rsid w:val="0001088C"/>
    <w:rsid w:val="00010C93"/>
    <w:rsid w:val="0001144F"/>
    <w:rsid w:val="0001168E"/>
    <w:rsid w:val="00011B28"/>
    <w:rsid w:val="00012036"/>
    <w:rsid w:val="00012F3B"/>
    <w:rsid w:val="0001303B"/>
    <w:rsid w:val="00013969"/>
    <w:rsid w:val="0001406C"/>
    <w:rsid w:val="000146BB"/>
    <w:rsid w:val="00014A21"/>
    <w:rsid w:val="00014E10"/>
    <w:rsid w:val="00015620"/>
    <w:rsid w:val="0001574B"/>
    <w:rsid w:val="00015C78"/>
    <w:rsid w:val="00015CE9"/>
    <w:rsid w:val="00015D15"/>
    <w:rsid w:val="000163CD"/>
    <w:rsid w:val="0001746B"/>
    <w:rsid w:val="000178E6"/>
    <w:rsid w:val="000178F5"/>
    <w:rsid w:val="00017AB1"/>
    <w:rsid w:val="00017D04"/>
    <w:rsid w:val="00017D94"/>
    <w:rsid w:val="00020A06"/>
    <w:rsid w:val="00021029"/>
    <w:rsid w:val="00022351"/>
    <w:rsid w:val="00022491"/>
    <w:rsid w:val="000226D3"/>
    <w:rsid w:val="000227CB"/>
    <w:rsid w:val="00022D01"/>
    <w:rsid w:val="00022D6B"/>
    <w:rsid w:val="000230CC"/>
    <w:rsid w:val="000239D4"/>
    <w:rsid w:val="00024030"/>
    <w:rsid w:val="00024172"/>
    <w:rsid w:val="0002463A"/>
    <w:rsid w:val="0002467B"/>
    <w:rsid w:val="00024CEB"/>
    <w:rsid w:val="00024D22"/>
    <w:rsid w:val="00024D42"/>
    <w:rsid w:val="00024E86"/>
    <w:rsid w:val="00025597"/>
    <w:rsid w:val="0002564D"/>
    <w:rsid w:val="000256A4"/>
    <w:rsid w:val="00025ECA"/>
    <w:rsid w:val="00025F5B"/>
    <w:rsid w:val="00025FA4"/>
    <w:rsid w:val="00026198"/>
    <w:rsid w:val="00026395"/>
    <w:rsid w:val="00027302"/>
    <w:rsid w:val="00027916"/>
    <w:rsid w:val="00027BE6"/>
    <w:rsid w:val="00027F77"/>
    <w:rsid w:val="00030548"/>
    <w:rsid w:val="00031194"/>
    <w:rsid w:val="00031767"/>
    <w:rsid w:val="00031EC6"/>
    <w:rsid w:val="00031F92"/>
    <w:rsid w:val="000325B8"/>
    <w:rsid w:val="000328E1"/>
    <w:rsid w:val="00032A77"/>
    <w:rsid w:val="0003308D"/>
    <w:rsid w:val="00033A3C"/>
    <w:rsid w:val="00033ACB"/>
    <w:rsid w:val="00033DDC"/>
    <w:rsid w:val="00033F5B"/>
    <w:rsid w:val="00033FEA"/>
    <w:rsid w:val="00034732"/>
    <w:rsid w:val="00034C15"/>
    <w:rsid w:val="00035928"/>
    <w:rsid w:val="00035C82"/>
    <w:rsid w:val="000363E5"/>
    <w:rsid w:val="000365EF"/>
    <w:rsid w:val="00036BA1"/>
    <w:rsid w:val="00036DC7"/>
    <w:rsid w:val="00037337"/>
    <w:rsid w:val="00037A05"/>
    <w:rsid w:val="00040A45"/>
    <w:rsid w:val="000413A8"/>
    <w:rsid w:val="00041544"/>
    <w:rsid w:val="000415F1"/>
    <w:rsid w:val="00041780"/>
    <w:rsid w:val="0004185E"/>
    <w:rsid w:val="000422E2"/>
    <w:rsid w:val="0004231A"/>
    <w:rsid w:val="0004258D"/>
    <w:rsid w:val="00042E1C"/>
    <w:rsid w:val="00042F22"/>
    <w:rsid w:val="00042F4A"/>
    <w:rsid w:val="00042FED"/>
    <w:rsid w:val="00043713"/>
    <w:rsid w:val="00043DF9"/>
    <w:rsid w:val="00043FA3"/>
    <w:rsid w:val="00044042"/>
    <w:rsid w:val="000440E5"/>
    <w:rsid w:val="000444EF"/>
    <w:rsid w:val="00044633"/>
    <w:rsid w:val="0004485E"/>
    <w:rsid w:val="00044F73"/>
    <w:rsid w:val="00045B85"/>
    <w:rsid w:val="00045C75"/>
    <w:rsid w:val="00045CFC"/>
    <w:rsid w:val="000461E1"/>
    <w:rsid w:val="000468EC"/>
    <w:rsid w:val="00046F31"/>
    <w:rsid w:val="000470E4"/>
    <w:rsid w:val="0004726F"/>
    <w:rsid w:val="000475DC"/>
    <w:rsid w:val="00047B78"/>
    <w:rsid w:val="000500D0"/>
    <w:rsid w:val="0005055A"/>
    <w:rsid w:val="00050705"/>
    <w:rsid w:val="00050AB5"/>
    <w:rsid w:val="00050C7F"/>
    <w:rsid w:val="00050C88"/>
    <w:rsid w:val="000511AE"/>
    <w:rsid w:val="00051227"/>
    <w:rsid w:val="00051725"/>
    <w:rsid w:val="0005219A"/>
    <w:rsid w:val="000521E2"/>
    <w:rsid w:val="000524FC"/>
    <w:rsid w:val="00052A07"/>
    <w:rsid w:val="00052A6B"/>
    <w:rsid w:val="00052D36"/>
    <w:rsid w:val="00053273"/>
    <w:rsid w:val="000533D5"/>
    <w:rsid w:val="000534E3"/>
    <w:rsid w:val="00053877"/>
    <w:rsid w:val="00053B4E"/>
    <w:rsid w:val="0005439F"/>
    <w:rsid w:val="000548D6"/>
    <w:rsid w:val="00054B56"/>
    <w:rsid w:val="00054B94"/>
    <w:rsid w:val="000552BA"/>
    <w:rsid w:val="0005606A"/>
    <w:rsid w:val="000562B7"/>
    <w:rsid w:val="00056FA0"/>
    <w:rsid w:val="00057117"/>
    <w:rsid w:val="00057437"/>
    <w:rsid w:val="000576B5"/>
    <w:rsid w:val="0005791B"/>
    <w:rsid w:val="00057F52"/>
    <w:rsid w:val="00057F65"/>
    <w:rsid w:val="00060359"/>
    <w:rsid w:val="00060498"/>
    <w:rsid w:val="000604A4"/>
    <w:rsid w:val="00060666"/>
    <w:rsid w:val="000607CD"/>
    <w:rsid w:val="000609AC"/>
    <w:rsid w:val="0006149B"/>
    <w:rsid w:val="000616E7"/>
    <w:rsid w:val="00063385"/>
    <w:rsid w:val="00063BF4"/>
    <w:rsid w:val="00063F3A"/>
    <w:rsid w:val="0006487E"/>
    <w:rsid w:val="00065875"/>
    <w:rsid w:val="00065E1A"/>
    <w:rsid w:val="000663A4"/>
    <w:rsid w:val="00066474"/>
    <w:rsid w:val="000664BC"/>
    <w:rsid w:val="000666FE"/>
    <w:rsid w:val="00066B96"/>
    <w:rsid w:val="00066ED7"/>
    <w:rsid w:val="00067240"/>
    <w:rsid w:val="00067CA3"/>
    <w:rsid w:val="0007012C"/>
    <w:rsid w:val="00071212"/>
    <w:rsid w:val="00071D3A"/>
    <w:rsid w:val="00071ED4"/>
    <w:rsid w:val="00072F17"/>
    <w:rsid w:val="00073F23"/>
    <w:rsid w:val="00075806"/>
    <w:rsid w:val="00075E70"/>
    <w:rsid w:val="00076286"/>
    <w:rsid w:val="00076A08"/>
    <w:rsid w:val="000778FD"/>
    <w:rsid w:val="00077AAC"/>
    <w:rsid w:val="00077E5F"/>
    <w:rsid w:val="0008025C"/>
    <w:rsid w:val="0008036A"/>
    <w:rsid w:val="00080B76"/>
    <w:rsid w:val="00081AE6"/>
    <w:rsid w:val="00082020"/>
    <w:rsid w:val="000820F7"/>
    <w:rsid w:val="0008232F"/>
    <w:rsid w:val="00082C84"/>
    <w:rsid w:val="00083037"/>
    <w:rsid w:val="00083953"/>
    <w:rsid w:val="00083B8D"/>
    <w:rsid w:val="00083B8E"/>
    <w:rsid w:val="00083C82"/>
    <w:rsid w:val="000846CF"/>
    <w:rsid w:val="00084BD1"/>
    <w:rsid w:val="00084E51"/>
    <w:rsid w:val="00085065"/>
    <w:rsid w:val="000855EB"/>
    <w:rsid w:val="00085608"/>
    <w:rsid w:val="00085B52"/>
    <w:rsid w:val="00085E51"/>
    <w:rsid w:val="0008612E"/>
    <w:rsid w:val="000866DE"/>
    <w:rsid w:val="000866F2"/>
    <w:rsid w:val="00086919"/>
    <w:rsid w:val="00086B6B"/>
    <w:rsid w:val="000872E2"/>
    <w:rsid w:val="000874B9"/>
    <w:rsid w:val="00087A5C"/>
    <w:rsid w:val="00087B68"/>
    <w:rsid w:val="00087BC0"/>
    <w:rsid w:val="0009009F"/>
    <w:rsid w:val="000900E2"/>
    <w:rsid w:val="00090693"/>
    <w:rsid w:val="00090B0A"/>
    <w:rsid w:val="00090B24"/>
    <w:rsid w:val="000911F4"/>
    <w:rsid w:val="0009152C"/>
    <w:rsid w:val="00091557"/>
    <w:rsid w:val="00091D4E"/>
    <w:rsid w:val="000924C1"/>
    <w:rsid w:val="000924F0"/>
    <w:rsid w:val="00092873"/>
    <w:rsid w:val="00092DE0"/>
    <w:rsid w:val="00092FB2"/>
    <w:rsid w:val="00093474"/>
    <w:rsid w:val="00093524"/>
    <w:rsid w:val="00093884"/>
    <w:rsid w:val="00093AA6"/>
    <w:rsid w:val="00093AF4"/>
    <w:rsid w:val="00093AFD"/>
    <w:rsid w:val="00094706"/>
    <w:rsid w:val="0009510F"/>
    <w:rsid w:val="000952D6"/>
    <w:rsid w:val="00095384"/>
    <w:rsid w:val="00095B26"/>
    <w:rsid w:val="00095C38"/>
    <w:rsid w:val="00095DDF"/>
    <w:rsid w:val="0009654D"/>
    <w:rsid w:val="00096A4B"/>
    <w:rsid w:val="000979CF"/>
    <w:rsid w:val="000A0377"/>
    <w:rsid w:val="000A0603"/>
    <w:rsid w:val="000A093B"/>
    <w:rsid w:val="000A0B20"/>
    <w:rsid w:val="000A185C"/>
    <w:rsid w:val="000A18EF"/>
    <w:rsid w:val="000A1B7B"/>
    <w:rsid w:val="000A1EF7"/>
    <w:rsid w:val="000A23B9"/>
    <w:rsid w:val="000A296C"/>
    <w:rsid w:val="000A3256"/>
    <w:rsid w:val="000A33A6"/>
    <w:rsid w:val="000A3B46"/>
    <w:rsid w:val="000A3E51"/>
    <w:rsid w:val="000A40B6"/>
    <w:rsid w:val="000A423E"/>
    <w:rsid w:val="000A499C"/>
    <w:rsid w:val="000A4AD2"/>
    <w:rsid w:val="000A4F0D"/>
    <w:rsid w:val="000A4FE4"/>
    <w:rsid w:val="000A56F2"/>
    <w:rsid w:val="000A58EA"/>
    <w:rsid w:val="000A5BD3"/>
    <w:rsid w:val="000A5CE5"/>
    <w:rsid w:val="000A5E71"/>
    <w:rsid w:val="000A6A7B"/>
    <w:rsid w:val="000A6B7D"/>
    <w:rsid w:val="000A6C00"/>
    <w:rsid w:val="000A6D7A"/>
    <w:rsid w:val="000A70EF"/>
    <w:rsid w:val="000A7204"/>
    <w:rsid w:val="000A72E0"/>
    <w:rsid w:val="000A7893"/>
    <w:rsid w:val="000B007C"/>
    <w:rsid w:val="000B1851"/>
    <w:rsid w:val="000B1A90"/>
    <w:rsid w:val="000B2719"/>
    <w:rsid w:val="000B2A73"/>
    <w:rsid w:val="000B2BF5"/>
    <w:rsid w:val="000B303D"/>
    <w:rsid w:val="000B321A"/>
    <w:rsid w:val="000B3360"/>
    <w:rsid w:val="000B36B9"/>
    <w:rsid w:val="000B3A8F"/>
    <w:rsid w:val="000B3D6A"/>
    <w:rsid w:val="000B4177"/>
    <w:rsid w:val="000B4AB9"/>
    <w:rsid w:val="000B58C3"/>
    <w:rsid w:val="000B61E9"/>
    <w:rsid w:val="000B661C"/>
    <w:rsid w:val="000B66F8"/>
    <w:rsid w:val="000B6E9C"/>
    <w:rsid w:val="000B736E"/>
    <w:rsid w:val="000B776F"/>
    <w:rsid w:val="000B7BE0"/>
    <w:rsid w:val="000C07AC"/>
    <w:rsid w:val="000C07ED"/>
    <w:rsid w:val="000C0BBA"/>
    <w:rsid w:val="000C165A"/>
    <w:rsid w:val="000C1889"/>
    <w:rsid w:val="000C25FF"/>
    <w:rsid w:val="000C2E19"/>
    <w:rsid w:val="000C303A"/>
    <w:rsid w:val="000C3477"/>
    <w:rsid w:val="000C3520"/>
    <w:rsid w:val="000C361D"/>
    <w:rsid w:val="000C3774"/>
    <w:rsid w:val="000C3859"/>
    <w:rsid w:val="000C3B73"/>
    <w:rsid w:val="000C4949"/>
    <w:rsid w:val="000C593E"/>
    <w:rsid w:val="000C59D6"/>
    <w:rsid w:val="000C5EBC"/>
    <w:rsid w:val="000C5FCC"/>
    <w:rsid w:val="000C65FB"/>
    <w:rsid w:val="000C6B83"/>
    <w:rsid w:val="000C79DC"/>
    <w:rsid w:val="000D02A7"/>
    <w:rsid w:val="000D0353"/>
    <w:rsid w:val="000D051E"/>
    <w:rsid w:val="000D0A71"/>
    <w:rsid w:val="000D0D07"/>
    <w:rsid w:val="000D0F89"/>
    <w:rsid w:val="000D151C"/>
    <w:rsid w:val="000D1D1E"/>
    <w:rsid w:val="000D27B2"/>
    <w:rsid w:val="000D29A0"/>
    <w:rsid w:val="000D2BD9"/>
    <w:rsid w:val="000D3FA9"/>
    <w:rsid w:val="000D435D"/>
    <w:rsid w:val="000D4797"/>
    <w:rsid w:val="000D50DF"/>
    <w:rsid w:val="000D62D5"/>
    <w:rsid w:val="000D6354"/>
    <w:rsid w:val="000D63E5"/>
    <w:rsid w:val="000D661F"/>
    <w:rsid w:val="000D6BCC"/>
    <w:rsid w:val="000D7910"/>
    <w:rsid w:val="000D7BC5"/>
    <w:rsid w:val="000E0527"/>
    <w:rsid w:val="000E081B"/>
    <w:rsid w:val="000E09C1"/>
    <w:rsid w:val="000E0A56"/>
    <w:rsid w:val="000E121E"/>
    <w:rsid w:val="000E1526"/>
    <w:rsid w:val="000E1CC0"/>
    <w:rsid w:val="000E1E92"/>
    <w:rsid w:val="000E2979"/>
    <w:rsid w:val="000E2EAC"/>
    <w:rsid w:val="000E330A"/>
    <w:rsid w:val="000E5A4D"/>
    <w:rsid w:val="000E6063"/>
    <w:rsid w:val="000E60AF"/>
    <w:rsid w:val="000E6887"/>
    <w:rsid w:val="000E6A1F"/>
    <w:rsid w:val="000E728D"/>
    <w:rsid w:val="000E7453"/>
    <w:rsid w:val="000E7E51"/>
    <w:rsid w:val="000F0425"/>
    <w:rsid w:val="000F05A8"/>
    <w:rsid w:val="000F06D6"/>
    <w:rsid w:val="000F0EB1"/>
    <w:rsid w:val="000F1093"/>
    <w:rsid w:val="000F1106"/>
    <w:rsid w:val="000F152C"/>
    <w:rsid w:val="000F21BF"/>
    <w:rsid w:val="000F2525"/>
    <w:rsid w:val="000F2A68"/>
    <w:rsid w:val="000F2E57"/>
    <w:rsid w:val="000F320E"/>
    <w:rsid w:val="000F3765"/>
    <w:rsid w:val="000F383C"/>
    <w:rsid w:val="000F3BE9"/>
    <w:rsid w:val="000F3F6C"/>
    <w:rsid w:val="000F4E09"/>
    <w:rsid w:val="000F4F96"/>
    <w:rsid w:val="000F5411"/>
    <w:rsid w:val="000F5587"/>
    <w:rsid w:val="000F5A24"/>
    <w:rsid w:val="000F5AB2"/>
    <w:rsid w:val="000F6DF3"/>
    <w:rsid w:val="000F727A"/>
    <w:rsid w:val="000F75F3"/>
    <w:rsid w:val="000F7D43"/>
    <w:rsid w:val="000F7E2C"/>
    <w:rsid w:val="000F7E83"/>
    <w:rsid w:val="0010002F"/>
    <w:rsid w:val="001005FF"/>
    <w:rsid w:val="00100E68"/>
    <w:rsid w:val="001012C6"/>
    <w:rsid w:val="00101A0E"/>
    <w:rsid w:val="00102B55"/>
    <w:rsid w:val="00103169"/>
    <w:rsid w:val="001033CF"/>
    <w:rsid w:val="001039F2"/>
    <w:rsid w:val="00103B06"/>
    <w:rsid w:val="00103FB5"/>
    <w:rsid w:val="00106280"/>
    <w:rsid w:val="001062FB"/>
    <w:rsid w:val="001063E6"/>
    <w:rsid w:val="00106718"/>
    <w:rsid w:val="00106C1E"/>
    <w:rsid w:val="00106F42"/>
    <w:rsid w:val="001073E1"/>
    <w:rsid w:val="00107558"/>
    <w:rsid w:val="00107A15"/>
    <w:rsid w:val="00107C26"/>
    <w:rsid w:val="00110B94"/>
    <w:rsid w:val="001114B4"/>
    <w:rsid w:val="00111781"/>
    <w:rsid w:val="00112160"/>
    <w:rsid w:val="001124F1"/>
    <w:rsid w:val="00112572"/>
    <w:rsid w:val="00112605"/>
    <w:rsid w:val="00112652"/>
    <w:rsid w:val="001128B7"/>
    <w:rsid w:val="00112A61"/>
    <w:rsid w:val="00112CCC"/>
    <w:rsid w:val="00113855"/>
    <w:rsid w:val="00113BA8"/>
    <w:rsid w:val="00113CF4"/>
    <w:rsid w:val="00113D24"/>
    <w:rsid w:val="001143AE"/>
    <w:rsid w:val="0011469E"/>
    <w:rsid w:val="001147CE"/>
    <w:rsid w:val="00114AB1"/>
    <w:rsid w:val="001153EA"/>
    <w:rsid w:val="00115643"/>
    <w:rsid w:val="00115AD3"/>
    <w:rsid w:val="0011635A"/>
    <w:rsid w:val="001164A9"/>
    <w:rsid w:val="001166C0"/>
    <w:rsid w:val="00116765"/>
    <w:rsid w:val="0011725E"/>
    <w:rsid w:val="001174E1"/>
    <w:rsid w:val="001202C2"/>
    <w:rsid w:val="0012071F"/>
    <w:rsid w:val="001209DD"/>
    <w:rsid w:val="00120F87"/>
    <w:rsid w:val="00121741"/>
    <w:rsid w:val="0012197D"/>
    <w:rsid w:val="001219F5"/>
    <w:rsid w:val="00121A20"/>
    <w:rsid w:val="00121DF6"/>
    <w:rsid w:val="00121E01"/>
    <w:rsid w:val="001221F1"/>
    <w:rsid w:val="00122320"/>
    <w:rsid w:val="001223F9"/>
    <w:rsid w:val="00122A66"/>
    <w:rsid w:val="00122F75"/>
    <w:rsid w:val="00122F98"/>
    <w:rsid w:val="00123685"/>
    <w:rsid w:val="00123743"/>
    <w:rsid w:val="0012377F"/>
    <w:rsid w:val="00123E74"/>
    <w:rsid w:val="001240A7"/>
    <w:rsid w:val="00124314"/>
    <w:rsid w:val="0012443B"/>
    <w:rsid w:val="00124873"/>
    <w:rsid w:val="001248CD"/>
    <w:rsid w:val="00124EE6"/>
    <w:rsid w:val="00125417"/>
    <w:rsid w:val="0012591B"/>
    <w:rsid w:val="001260A8"/>
    <w:rsid w:val="00126B4A"/>
    <w:rsid w:val="00126F2F"/>
    <w:rsid w:val="0012703B"/>
    <w:rsid w:val="001276F3"/>
    <w:rsid w:val="00127D03"/>
    <w:rsid w:val="001300FD"/>
    <w:rsid w:val="001305C4"/>
    <w:rsid w:val="00130754"/>
    <w:rsid w:val="00130AEC"/>
    <w:rsid w:val="00130D1A"/>
    <w:rsid w:val="0013148E"/>
    <w:rsid w:val="00131B9D"/>
    <w:rsid w:val="00131ED8"/>
    <w:rsid w:val="00132349"/>
    <w:rsid w:val="0013264C"/>
    <w:rsid w:val="00132AC5"/>
    <w:rsid w:val="00132DE2"/>
    <w:rsid w:val="00132FD0"/>
    <w:rsid w:val="0013393D"/>
    <w:rsid w:val="00133C80"/>
    <w:rsid w:val="001344C0"/>
    <w:rsid w:val="00134606"/>
    <w:rsid w:val="00134634"/>
    <w:rsid w:val="001346FA"/>
    <w:rsid w:val="0013476F"/>
    <w:rsid w:val="00134855"/>
    <w:rsid w:val="001348D3"/>
    <w:rsid w:val="00134942"/>
    <w:rsid w:val="00135252"/>
    <w:rsid w:val="001356BB"/>
    <w:rsid w:val="00135915"/>
    <w:rsid w:val="00135F28"/>
    <w:rsid w:val="001364AF"/>
    <w:rsid w:val="00136884"/>
    <w:rsid w:val="00136D2A"/>
    <w:rsid w:val="00136D81"/>
    <w:rsid w:val="0013726D"/>
    <w:rsid w:val="001372F0"/>
    <w:rsid w:val="00137AB5"/>
    <w:rsid w:val="00137F0B"/>
    <w:rsid w:val="00140553"/>
    <w:rsid w:val="001409B5"/>
    <w:rsid w:val="00140B2F"/>
    <w:rsid w:val="0014124F"/>
    <w:rsid w:val="00141A25"/>
    <w:rsid w:val="00141C0C"/>
    <w:rsid w:val="00141CEA"/>
    <w:rsid w:val="001425A7"/>
    <w:rsid w:val="00142BA6"/>
    <w:rsid w:val="00142F71"/>
    <w:rsid w:val="0014346C"/>
    <w:rsid w:val="001436A0"/>
    <w:rsid w:val="00144D8C"/>
    <w:rsid w:val="001452AF"/>
    <w:rsid w:val="00145339"/>
    <w:rsid w:val="00145A7B"/>
    <w:rsid w:val="00145BD9"/>
    <w:rsid w:val="00146492"/>
    <w:rsid w:val="0014665C"/>
    <w:rsid w:val="00146661"/>
    <w:rsid w:val="00146B46"/>
    <w:rsid w:val="00146CBB"/>
    <w:rsid w:val="00146D17"/>
    <w:rsid w:val="001470C8"/>
    <w:rsid w:val="0014723B"/>
    <w:rsid w:val="00147609"/>
    <w:rsid w:val="00147A08"/>
    <w:rsid w:val="00147AE6"/>
    <w:rsid w:val="00147F3E"/>
    <w:rsid w:val="00147FB4"/>
    <w:rsid w:val="001515E3"/>
    <w:rsid w:val="00151975"/>
    <w:rsid w:val="00151E23"/>
    <w:rsid w:val="001520A4"/>
    <w:rsid w:val="001525AF"/>
    <w:rsid w:val="001526E0"/>
    <w:rsid w:val="00152EB9"/>
    <w:rsid w:val="00152EC5"/>
    <w:rsid w:val="0015348F"/>
    <w:rsid w:val="001536D2"/>
    <w:rsid w:val="0015384B"/>
    <w:rsid w:val="00153D72"/>
    <w:rsid w:val="001542FC"/>
    <w:rsid w:val="0015494C"/>
    <w:rsid w:val="00154CA5"/>
    <w:rsid w:val="001551B5"/>
    <w:rsid w:val="00155577"/>
    <w:rsid w:val="0015679D"/>
    <w:rsid w:val="00156F81"/>
    <w:rsid w:val="0015722E"/>
    <w:rsid w:val="00157E4C"/>
    <w:rsid w:val="00160992"/>
    <w:rsid w:val="00160C25"/>
    <w:rsid w:val="00160EEF"/>
    <w:rsid w:val="00161473"/>
    <w:rsid w:val="001614E9"/>
    <w:rsid w:val="001617D1"/>
    <w:rsid w:val="00161943"/>
    <w:rsid w:val="001620C4"/>
    <w:rsid w:val="00162C3C"/>
    <w:rsid w:val="00162D53"/>
    <w:rsid w:val="001645C5"/>
    <w:rsid w:val="001646CD"/>
    <w:rsid w:val="001653F6"/>
    <w:rsid w:val="001655A7"/>
    <w:rsid w:val="00165779"/>
    <w:rsid w:val="001659C1"/>
    <w:rsid w:val="00165E6A"/>
    <w:rsid w:val="00166468"/>
    <w:rsid w:val="00166593"/>
    <w:rsid w:val="0016724D"/>
    <w:rsid w:val="001674A1"/>
    <w:rsid w:val="00167CB9"/>
    <w:rsid w:val="00167D57"/>
    <w:rsid w:val="00170157"/>
    <w:rsid w:val="00170426"/>
    <w:rsid w:val="00171CA8"/>
    <w:rsid w:val="00171E65"/>
    <w:rsid w:val="0017208A"/>
    <w:rsid w:val="00172149"/>
    <w:rsid w:val="00172820"/>
    <w:rsid w:val="001729C6"/>
    <w:rsid w:val="001729F9"/>
    <w:rsid w:val="00172D10"/>
    <w:rsid w:val="00172DF0"/>
    <w:rsid w:val="00172FF9"/>
    <w:rsid w:val="001732DC"/>
    <w:rsid w:val="00173359"/>
    <w:rsid w:val="00173A8E"/>
    <w:rsid w:val="00173AA5"/>
    <w:rsid w:val="00174839"/>
    <w:rsid w:val="0017502C"/>
    <w:rsid w:val="00175D74"/>
    <w:rsid w:val="0017650A"/>
    <w:rsid w:val="0017673C"/>
    <w:rsid w:val="00176C0B"/>
    <w:rsid w:val="00177822"/>
    <w:rsid w:val="001805E9"/>
    <w:rsid w:val="0018088E"/>
    <w:rsid w:val="0018143F"/>
    <w:rsid w:val="001819C0"/>
    <w:rsid w:val="00181FF8"/>
    <w:rsid w:val="0018229D"/>
    <w:rsid w:val="001829FF"/>
    <w:rsid w:val="00182B90"/>
    <w:rsid w:val="00182BD2"/>
    <w:rsid w:val="0018323E"/>
    <w:rsid w:val="00183F6E"/>
    <w:rsid w:val="00185243"/>
    <w:rsid w:val="00185643"/>
    <w:rsid w:val="00185C10"/>
    <w:rsid w:val="001863A8"/>
    <w:rsid w:val="00186D7A"/>
    <w:rsid w:val="00187746"/>
    <w:rsid w:val="001878C8"/>
    <w:rsid w:val="00187F7D"/>
    <w:rsid w:val="00190089"/>
    <w:rsid w:val="001902B5"/>
    <w:rsid w:val="00190552"/>
    <w:rsid w:val="00190953"/>
    <w:rsid w:val="00190A44"/>
    <w:rsid w:val="00190AC1"/>
    <w:rsid w:val="00190AE3"/>
    <w:rsid w:val="00190B5B"/>
    <w:rsid w:val="00191A27"/>
    <w:rsid w:val="00192446"/>
    <w:rsid w:val="0019296C"/>
    <w:rsid w:val="001930F1"/>
    <w:rsid w:val="001930F3"/>
    <w:rsid w:val="001931CC"/>
    <w:rsid w:val="0019341A"/>
    <w:rsid w:val="001949D0"/>
    <w:rsid w:val="00194A4E"/>
    <w:rsid w:val="00194C6B"/>
    <w:rsid w:val="00195073"/>
    <w:rsid w:val="0019563F"/>
    <w:rsid w:val="00196323"/>
    <w:rsid w:val="0019634C"/>
    <w:rsid w:val="001969F6"/>
    <w:rsid w:val="00196ADF"/>
    <w:rsid w:val="00196EF1"/>
    <w:rsid w:val="0019711B"/>
    <w:rsid w:val="00197DF9"/>
    <w:rsid w:val="001A08AD"/>
    <w:rsid w:val="001A0E42"/>
    <w:rsid w:val="001A0F6E"/>
    <w:rsid w:val="001A1549"/>
    <w:rsid w:val="001A1575"/>
    <w:rsid w:val="001A1682"/>
    <w:rsid w:val="001A1987"/>
    <w:rsid w:val="001A1C82"/>
    <w:rsid w:val="001A2564"/>
    <w:rsid w:val="001A296B"/>
    <w:rsid w:val="001A30A0"/>
    <w:rsid w:val="001A318B"/>
    <w:rsid w:val="001A343E"/>
    <w:rsid w:val="001A36CC"/>
    <w:rsid w:val="001A3A1D"/>
    <w:rsid w:val="001A3D6C"/>
    <w:rsid w:val="001A4001"/>
    <w:rsid w:val="001A4607"/>
    <w:rsid w:val="001A4E95"/>
    <w:rsid w:val="001A5071"/>
    <w:rsid w:val="001A5A0D"/>
    <w:rsid w:val="001A5EC1"/>
    <w:rsid w:val="001A5F3D"/>
    <w:rsid w:val="001A6173"/>
    <w:rsid w:val="001A64E5"/>
    <w:rsid w:val="001A673B"/>
    <w:rsid w:val="001A6CBA"/>
    <w:rsid w:val="001A6E41"/>
    <w:rsid w:val="001A778C"/>
    <w:rsid w:val="001A77E8"/>
    <w:rsid w:val="001A7C3E"/>
    <w:rsid w:val="001B020D"/>
    <w:rsid w:val="001B0995"/>
    <w:rsid w:val="001B0D97"/>
    <w:rsid w:val="001B0DC4"/>
    <w:rsid w:val="001B0DEA"/>
    <w:rsid w:val="001B1195"/>
    <w:rsid w:val="001B1620"/>
    <w:rsid w:val="001B19BB"/>
    <w:rsid w:val="001B1A7A"/>
    <w:rsid w:val="001B1EE5"/>
    <w:rsid w:val="001B28A1"/>
    <w:rsid w:val="001B2CA9"/>
    <w:rsid w:val="001B2E70"/>
    <w:rsid w:val="001B314B"/>
    <w:rsid w:val="001B3993"/>
    <w:rsid w:val="001B3FF1"/>
    <w:rsid w:val="001B4A86"/>
    <w:rsid w:val="001B4D6E"/>
    <w:rsid w:val="001B4DE4"/>
    <w:rsid w:val="001B4F5C"/>
    <w:rsid w:val="001B5068"/>
    <w:rsid w:val="001B5175"/>
    <w:rsid w:val="001B55EE"/>
    <w:rsid w:val="001B57E1"/>
    <w:rsid w:val="001B58B5"/>
    <w:rsid w:val="001B5A5D"/>
    <w:rsid w:val="001B5B6D"/>
    <w:rsid w:val="001B5EBF"/>
    <w:rsid w:val="001B611F"/>
    <w:rsid w:val="001B63D3"/>
    <w:rsid w:val="001B663D"/>
    <w:rsid w:val="001B7091"/>
    <w:rsid w:val="001B7144"/>
    <w:rsid w:val="001B73E5"/>
    <w:rsid w:val="001B773A"/>
    <w:rsid w:val="001B7828"/>
    <w:rsid w:val="001B7A09"/>
    <w:rsid w:val="001B7B1F"/>
    <w:rsid w:val="001C093C"/>
    <w:rsid w:val="001C0947"/>
    <w:rsid w:val="001C0D21"/>
    <w:rsid w:val="001C10CF"/>
    <w:rsid w:val="001C1CE5"/>
    <w:rsid w:val="001C1F43"/>
    <w:rsid w:val="001C244C"/>
    <w:rsid w:val="001C2869"/>
    <w:rsid w:val="001C2BA9"/>
    <w:rsid w:val="001C2C07"/>
    <w:rsid w:val="001C2E8B"/>
    <w:rsid w:val="001C30AA"/>
    <w:rsid w:val="001C3475"/>
    <w:rsid w:val="001C362C"/>
    <w:rsid w:val="001C3D2A"/>
    <w:rsid w:val="001C40F8"/>
    <w:rsid w:val="001C430F"/>
    <w:rsid w:val="001C4D2E"/>
    <w:rsid w:val="001C4DBF"/>
    <w:rsid w:val="001C5712"/>
    <w:rsid w:val="001C5CB4"/>
    <w:rsid w:val="001C77F1"/>
    <w:rsid w:val="001C7D89"/>
    <w:rsid w:val="001D00B0"/>
    <w:rsid w:val="001D0208"/>
    <w:rsid w:val="001D0381"/>
    <w:rsid w:val="001D03A4"/>
    <w:rsid w:val="001D0523"/>
    <w:rsid w:val="001D0912"/>
    <w:rsid w:val="001D0D47"/>
    <w:rsid w:val="001D10E3"/>
    <w:rsid w:val="001D1206"/>
    <w:rsid w:val="001D14E6"/>
    <w:rsid w:val="001D239A"/>
    <w:rsid w:val="001D2784"/>
    <w:rsid w:val="001D2BC3"/>
    <w:rsid w:val="001D363A"/>
    <w:rsid w:val="001D3983"/>
    <w:rsid w:val="001D4405"/>
    <w:rsid w:val="001D4BC8"/>
    <w:rsid w:val="001D4F5E"/>
    <w:rsid w:val="001D5110"/>
    <w:rsid w:val="001D51BA"/>
    <w:rsid w:val="001D53E7"/>
    <w:rsid w:val="001D595A"/>
    <w:rsid w:val="001D5DC0"/>
    <w:rsid w:val="001D6017"/>
    <w:rsid w:val="001D6342"/>
    <w:rsid w:val="001D6B3F"/>
    <w:rsid w:val="001D6D53"/>
    <w:rsid w:val="001D7082"/>
    <w:rsid w:val="001D7539"/>
    <w:rsid w:val="001D7723"/>
    <w:rsid w:val="001D7CA3"/>
    <w:rsid w:val="001D7DBB"/>
    <w:rsid w:val="001D7ECF"/>
    <w:rsid w:val="001E0BCE"/>
    <w:rsid w:val="001E12FA"/>
    <w:rsid w:val="001E14BB"/>
    <w:rsid w:val="001E265A"/>
    <w:rsid w:val="001E2763"/>
    <w:rsid w:val="001E2A07"/>
    <w:rsid w:val="001E2EB7"/>
    <w:rsid w:val="001E3B43"/>
    <w:rsid w:val="001E4283"/>
    <w:rsid w:val="001E4317"/>
    <w:rsid w:val="001E452A"/>
    <w:rsid w:val="001E5424"/>
    <w:rsid w:val="001E5629"/>
    <w:rsid w:val="001E585D"/>
    <w:rsid w:val="001E58E2"/>
    <w:rsid w:val="001E5BD2"/>
    <w:rsid w:val="001E5D53"/>
    <w:rsid w:val="001E5F0B"/>
    <w:rsid w:val="001E7276"/>
    <w:rsid w:val="001E72DB"/>
    <w:rsid w:val="001E7A22"/>
    <w:rsid w:val="001E7AED"/>
    <w:rsid w:val="001E7EA9"/>
    <w:rsid w:val="001F0F5F"/>
    <w:rsid w:val="001F1229"/>
    <w:rsid w:val="001F1830"/>
    <w:rsid w:val="001F1988"/>
    <w:rsid w:val="001F1BDB"/>
    <w:rsid w:val="001F20AF"/>
    <w:rsid w:val="001F2CA1"/>
    <w:rsid w:val="001F3511"/>
    <w:rsid w:val="001F35D9"/>
    <w:rsid w:val="001F38FE"/>
    <w:rsid w:val="001F38FF"/>
    <w:rsid w:val="001F3916"/>
    <w:rsid w:val="001F3950"/>
    <w:rsid w:val="001F42F0"/>
    <w:rsid w:val="001F4A44"/>
    <w:rsid w:val="001F4F32"/>
    <w:rsid w:val="001F5096"/>
    <w:rsid w:val="001F54C5"/>
    <w:rsid w:val="001F5915"/>
    <w:rsid w:val="001F5E4A"/>
    <w:rsid w:val="001F5F2C"/>
    <w:rsid w:val="001F60B2"/>
    <w:rsid w:val="001F662C"/>
    <w:rsid w:val="001F6A61"/>
    <w:rsid w:val="001F6DAB"/>
    <w:rsid w:val="001F6DF4"/>
    <w:rsid w:val="001F7074"/>
    <w:rsid w:val="001F742A"/>
    <w:rsid w:val="001F7B02"/>
    <w:rsid w:val="00200026"/>
    <w:rsid w:val="0020033D"/>
    <w:rsid w:val="00200490"/>
    <w:rsid w:val="00200584"/>
    <w:rsid w:val="00200A9F"/>
    <w:rsid w:val="00201F3A"/>
    <w:rsid w:val="0020374D"/>
    <w:rsid w:val="00203F04"/>
    <w:rsid w:val="00203F96"/>
    <w:rsid w:val="00204418"/>
    <w:rsid w:val="00204FE7"/>
    <w:rsid w:val="0020509E"/>
    <w:rsid w:val="00205360"/>
    <w:rsid w:val="0020547F"/>
    <w:rsid w:val="002058AC"/>
    <w:rsid w:val="00205E67"/>
    <w:rsid w:val="002062EE"/>
    <w:rsid w:val="00206303"/>
    <w:rsid w:val="002064D9"/>
    <w:rsid w:val="002067F1"/>
    <w:rsid w:val="002069B2"/>
    <w:rsid w:val="002069C0"/>
    <w:rsid w:val="00206B84"/>
    <w:rsid w:val="00206D60"/>
    <w:rsid w:val="00206E12"/>
    <w:rsid w:val="00206EF7"/>
    <w:rsid w:val="002071A5"/>
    <w:rsid w:val="00207294"/>
    <w:rsid w:val="002074D6"/>
    <w:rsid w:val="0020772C"/>
    <w:rsid w:val="00207797"/>
    <w:rsid w:val="00207A0B"/>
    <w:rsid w:val="00207A5D"/>
    <w:rsid w:val="00207F12"/>
    <w:rsid w:val="00207FA3"/>
    <w:rsid w:val="0021042E"/>
    <w:rsid w:val="00210E34"/>
    <w:rsid w:val="00210E9F"/>
    <w:rsid w:val="00210FC4"/>
    <w:rsid w:val="002115E1"/>
    <w:rsid w:val="002122C3"/>
    <w:rsid w:val="002126D5"/>
    <w:rsid w:val="002135C9"/>
    <w:rsid w:val="00213821"/>
    <w:rsid w:val="002138A3"/>
    <w:rsid w:val="00213E55"/>
    <w:rsid w:val="002142CB"/>
    <w:rsid w:val="00214650"/>
    <w:rsid w:val="00214DA8"/>
    <w:rsid w:val="00214F11"/>
    <w:rsid w:val="002153B4"/>
    <w:rsid w:val="00215423"/>
    <w:rsid w:val="002158FA"/>
    <w:rsid w:val="0021591F"/>
    <w:rsid w:val="00216079"/>
    <w:rsid w:val="00216566"/>
    <w:rsid w:val="00216A20"/>
    <w:rsid w:val="00216CC3"/>
    <w:rsid w:val="002176C1"/>
    <w:rsid w:val="00217FFC"/>
    <w:rsid w:val="002203B0"/>
    <w:rsid w:val="00220600"/>
    <w:rsid w:val="00220765"/>
    <w:rsid w:val="00220A8A"/>
    <w:rsid w:val="00220FD5"/>
    <w:rsid w:val="002215DB"/>
    <w:rsid w:val="00221727"/>
    <w:rsid w:val="00221CB0"/>
    <w:rsid w:val="002220EF"/>
    <w:rsid w:val="002221D0"/>
    <w:rsid w:val="002223BC"/>
    <w:rsid w:val="002224DB"/>
    <w:rsid w:val="00222A77"/>
    <w:rsid w:val="00222D8E"/>
    <w:rsid w:val="00223769"/>
    <w:rsid w:val="00223FCB"/>
    <w:rsid w:val="0022402E"/>
    <w:rsid w:val="002244FE"/>
    <w:rsid w:val="00224596"/>
    <w:rsid w:val="00224AF1"/>
    <w:rsid w:val="002252C3"/>
    <w:rsid w:val="00225300"/>
    <w:rsid w:val="00225779"/>
    <w:rsid w:val="00225C54"/>
    <w:rsid w:val="002265C5"/>
    <w:rsid w:val="00226C65"/>
    <w:rsid w:val="00226F61"/>
    <w:rsid w:val="002270D9"/>
    <w:rsid w:val="002271A8"/>
    <w:rsid w:val="002278B3"/>
    <w:rsid w:val="00230765"/>
    <w:rsid w:val="00230A9B"/>
    <w:rsid w:val="00230B98"/>
    <w:rsid w:val="00230D18"/>
    <w:rsid w:val="002319E4"/>
    <w:rsid w:val="00231CA6"/>
    <w:rsid w:val="00231D84"/>
    <w:rsid w:val="002327C1"/>
    <w:rsid w:val="00232AE0"/>
    <w:rsid w:val="00232E2F"/>
    <w:rsid w:val="00233331"/>
    <w:rsid w:val="002334CF"/>
    <w:rsid w:val="00234022"/>
    <w:rsid w:val="002342A2"/>
    <w:rsid w:val="0023441D"/>
    <w:rsid w:val="00234535"/>
    <w:rsid w:val="00234770"/>
    <w:rsid w:val="0023488D"/>
    <w:rsid w:val="00234905"/>
    <w:rsid w:val="00234A08"/>
    <w:rsid w:val="00234F1C"/>
    <w:rsid w:val="0023509E"/>
    <w:rsid w:val="00235632"/>
    <w:rsid w:val="00235819"/>
    <w:rsid w:val="00235872"/>
    <w:rsid w:val="0023589D"/>
    <w:rsid w:val="00235D83"/>
    <w:rsid w:val="00235F49"/>
    <w:rsid w:val="00236499"/>
    <w:rsid w:val="002366EE"/>
    <w:rsid w:val="00236741"/>
    <w:rsid w:val="00236829"/>
    <w:rsid w:val="00236C67"/>
    <w:rsid w:val="00236D84"/>
    <w:rsid w:val="00236E6F"/>
    <w:rsid w:val="00237265"/>
    <w:rsid w:val="0023729D"/>
    <w:rsid w:val="002374AB"/>
    <w:rsid w:val="00237873"/>
    <w:rsid w:val="00237947"/>
    <w:rsid w:val="002401E7"/>
    <w:rsid w:val="002402B8"/>
    <w:rsid w:val="00241040"/>
    <w:rsid w:val="00241559"/>
    <w:rsid w:val="002415EF"/>
    <w:rsid w:val="00241A73"/>
    <w:rsid w:val="0024212F"/>
    <w:rsid w:val="002432AF"/>
    <w:rsid w:val="002435B3"/>
    <w:rsid w:val="002436D8"/>
    <w:rsid w:val="002447D0"/>
    <w:rsid w:val="00244C1C"/>
    <w:rsid w:val="002452C6"/>
    <w:rsid w:val="0024556B"/>
    <w:rsid w:val="00245846"/>
    <w:rsid w:val="00245856"/>
    <w:rsid w:val="002458EB"/>
    <w:rsid w:val="00245A5E"/>
    <w:rsid w:val="0024678E"/>
    <w:rsid w:val="00246927"/>
    <w:rsid w:val="00246A6F"/>
    <w:rsid w:val="00246D97"/>
    <w:rsid w:val="00246DE4"/>
    <w:rsid w:val="00246EB5"/>
    <w:rsid w:val="00246F17"/>
    <w:rsid w:val="00246FCD"/>
    <w:rsid w:val="002500C8"/>
    <w:rsid w:val="00250594"/>
    <w:rsid w:val="00250B26"/>
    <w:rsid w:val="00250DF3"/>
    <w:rsid w:val="00251E08"/>
    <w:rsid w:val="002528EA"/>
    <w:rsid w:val="002530F4"/>
    <w:rsid w:val="0025317B"/>
    <w:rsid w:val="00253CFF"/>
    <w:rsid w:val="00254354"/>
    <w:rsid w:val="0025435D"/>
    <w:rsid w:val="002543E9"/>
    <w:rsid w:val="0025635A"/>
    <w:rsid w:val="00256472"/>
    <w:rsid w:val="002567C7"/>
    <w:rsid w:val="00256C38"/>
    <w:rsid w:val="00256D86"/>
    <w:rsid w:val="00256F26"/>
    <w:rsid w:val="00257033"/>
    <w:rsid w:val="00257543"/>
    <w:rsid w:val="002604DC"/>
    <w:rsid w:val="00260E01"/>
    <w:rsid w:val="00261389"/>
    <w:rsid w:val="002613AF"/>
    <w:rsid w:val="002617E7"/>
    <w:rsid w:val="00261A42"/>
    <w:rsid w:val="0026222B"/>
    <w:rsid w:val="0026233F"/>
    <w:rsid w:val="002625AB"/>
    <w:rsid w:val="00262D39"/>
    <w:rsid w:val="00262DBC"/>
    <w:rsid w:val="00262E92"/>
    <w:rsid w:val="0026325B"/>
    <w:rsid w:val="00264228"/>
    <w:rsid w:val="002642EC"/>
    <w:rsid w:val="00264334"/>
    <w:rsid w:val="002644CD"/>
    <w:rsid w:val="0026473E"/>
    <w:rsid w:val="00264C0A"/>
    <w:rsid w:val="00264C35"/>
    <w:rsid w:val="002654AD"/>
    <w:rsid w:val="00265631"/>
    <w:rsid w:val="00265947"/>
    <w:rsid w:val="0026594C"/>
    <w:rsid w:val="00265E66"/>
    <w:rsid w:val="00266214"/>
    <w:rsid w:val="002664E5"/>
    <w:rsid w:val="002664F6"/>
    <w:rsid w:val="002665E9"/>
    <w:rsid w:val="0026683C"/>
    <w:rsid w:val="00266A09"/>
    <w:rsid w:val="00266F35"/>
    <w:rsid w:val="00267746"/>
    <w:rsid w:val="00267A5A"/>
    <w:rsid w:val="00267C83"/>
    <w:rsid w:val="00270295"/>
    <w:rsid w:val="0027077D"/>
    <w:rsid w:val="0027087E"/>
    <w:rsid w:val="00270DF4"/>
    <w:rsid w:val="002712BB"/>
    <w:rsid w:val="002712F8"/>
    <w:rsid w:val="0027144F"/>
    <w:rsid w:val="00271813"/>
    <w:rsid w:val="00271F3A"/>
    <w:rsid w:val="00271F5E"/>
    <w:rsid w:val="00272073"/>
    <w:rsid w:val="0027290D"/>
    <w:rsid w:val="00272A77"/>
    <w:rsid w:val="00272F26"/>
    <w:rsid w:val="00272F7A"/>
    <w:rsid w:val="00273118"/>
    <w:rsid w:val="0027321B"/>
    <w:rsid w:val="00273278"/>
    <w:rsid w:val="002737C8"/>
    <w:rsid w:val="002737F4"/>
    <w:rsid w:val="00273AA8"/>
    <w:rsid w:val="002741DC"/>
    <w:rsid w:val="00274A3F"/>
    <w:rsid w:val="00274B90"/>
    <w:rsid w:val="00274F2D"/>
    <w:rsid w:val="002750CD"/>
    <w:rsid w:val="00275FDE"/>
    <w:rsid w:val="0027603D"/>
    <w:rsid w:val="00276E4B"/>
    <w:rsid w:val="00277723"/>
    <w:rsid w:val="002805F5"/>
    <w:rsid w:val="00280751"/>
    <w:rsid w:val="00280A72"/>
    <w:rsid w:val="00280F9F"/>
    <w:rsid w:val="0028109F"/>
    <w:rsid w:val="0028148E"/>
    <w:rsid w:val="0028212A"/>
    <w:rsid w:val="00282266"/>
    <w:rsid w:val="002823F3"/>
    <w:rsid w:val="00282774"/>
    <w:rsid w:val="0028280A"/>
    <w:rsid w:val="00282CAC"/>
    <w:rsid w:val="00282E1B"/>
    <w:rsid w:val="00282E43"/>
    <w:rsid w:val="00282E7A"/>
    <w:rsid w:val="00283000"/>
    <w:rsid w:val="00283342"/>
    <w:rsid w:val="002837C4"/>
    <w:rsid w:val="0028422D"/>
    <w:rsid w:val="0028465F"/>
    <w:rsid w:val="00285213"/>
    <w:rsid w:val="00285868"/>
    <w:rsid w:val="00286ACD"/>
    <w:rsid w:val="0028716D"/>
    <w:rsid w:val="00287460"/>
    <w:rsid w:val="002875F2"/>
    <w:rsid w:val="00287838"/>
    <w:rsid w:val="00287EA2"/>
    <w:rsid w:val="00287F7E"/>
    <w:rsid w:val="00290314"/>
    <w:rsid w:val="002903F5"/>
    <w:rsid w:val="00290535"/>
    <w:rsid w:val="002907B5"/>
    <w:rsid w:val="00290C53"/>
    <w:rsid w:val="00291B17"/>
    <w:rsid w:val="002927BA"/>
    <w:rsid w:val="002928B9"/>
    <w:rsid w:val="00292CF1"/>
    <w:rsid w:val="00292EB7"/>
    <w:rsid w:val="0029318F"/>
    <w:rsid w:val="00293453"/>
    <w:rsid w:val="00293494"/>
    <w:rsid w:val="00293855"/>
    <w:rsid w:val="0029392B"/>
    <w:rsid w:val="00294452"/>
    <w:rsid w:val="002946CF"/>
    <w:rsid w:val="00294991"/>
    <w:rsid w:val="00294A39"/>
    <w:rsid w:val="00295709"/>
    <w:rsid w:val="00295B29"/>
    <w:rsid w:val="00295BA9"/>
    <w:rsid w:val="00295E0A"/>
    <w:rsid w:val="00296153"/>
    <w:rsid w:val="00296227"/>
    <w:rsid w:val="00296919"/>
    <w:rsid w:val="00296EB5"/>
    <w:rsid w:val="00296F44"/>
    <w:rsid w:val="00297363"/>
    <w:rsid w:val="0029777D"/>
    <w:rsid w:val="00297B45"/>
    <w:rsid w:val="00297B46"/>
    <w:rsid w:val="002A00AB"/>
    <w:rsid w:val="002A02A1"/>
    <w:rsid w:val="002A055E"/>
    <w:rsid w:val="002A05DE"/>
    <w:rsid w:val="002A07A1"/>
    <w:rsid w:val="002A0AA7"/>
    <w:rsid w:val="002A12B7"/>
    <w:rsid w:val="002A17C4"/>
    <w:rsid w:val="002A1952"/>
    <w:rsid w:val="002A1D4E"/>
    <w:rsid w:val="002A234D"/>
    <w:rsid w:val="002A248F"/>
    <w:rsid w:val="002A255D"/>
    <w:rsid w:val="002A2869"/>
    <w:rsid w:val="002A32BB"/>
    <w:rsid w:val="002A3515"/>
    <w:rsid w:val="002A39C4"/>
    <w:rsid w:val="002A3A1B"/>
    <w:rsid w:val="002A3B11"/>
    <w:rsid w:val="002A3F93"/>
    <w:rsid w:val="002A4D96"/>
    <w:rsid w:val="002A558D"/>
    <w:rsid w:val="002A5BF0"/>
    <w:rsid w:val="002A5E9C"/>
    <w:rsid w:val="002A7123"/>
    <w:rsid w:val="002A74E5"/>
    <w:rsid w:val="002A7E0D"/>
    <w:rsid w:val="002B0305"/>
    <w:rsid w:val="002B09AA"/>
    <w:rsid w:val="002B0B03"/>
    <w:rsid w:val="002B24D6"/>
    <w:rsid w:val="002B2557"/>
    <w:rsid w:val="002B2DE4"/>
    <w:rsid w:val="002B3E35"/>
    <w:rsid w:val="002B4556"/>
    <w:rsid w:val="002B5932"/>
    <w:rsid w:val="002B5D88"/>
    <w:rsid w:val="002B5DB1"/>
    <w:rsid w:val="002B60F7"/>
    <w:rsid w:val="002B6F2D"/>
    <w:rsid w:val="002B73E1"/>
    <w:rsid w:val="002B7DD9"/>
    <w:rsid w:val="002B7F5C"/>
    <w:rsid w:val="002C012C"/>
    <w:rsid w:val="002C07DB"/>
    <w:rsid w:val="002C098D"/>
    <w:rsid w:val="002C0A35"/>
    <w:rsid w:val="002C12BC"/>
    <w:rsid w:val="002C143D"/>
    <w:rsid w:val="002C1C92"/>
    <w:rsid w:val="002C1E70"/>
    <w:rsid w:val="002C1F57"/>
    <w:rsid w:val="002C2AB8"/>
    <w:rsid w:val="002C2EA8"/>
    <w:rsid w:val="002C32A9"/>
    <w:rsid w:val="002C416F"/>
    <w:rsid w:val="002C41E6"/>
    <w:rsid w:val="002C4729"/>
    <w:rsid w:val="002C4730"/>
    <w:rsid w:val="002C5007"/>
    <w:rsid w:val="002C56D0"/>
    <w:rsid w:val="002C56FA"/>
    <w:rsid w:val="002C5DE9"/>
    <w:rsid w:val="002C5F1B"/>
    <w:rsid w:val="002C6468"/>
    <w:rsid w:val="002C6969"/>
    <w:rsid w:val="002C6A37"/>
    <w:rsid w:val="002D000B"/>
    <w:rsid w:val="002D071A"/>
    <w:rsid w:val="002D1888"/>
    <w:rsid w:val="002D1B52"/>
    <w:rsid w:val="002D2364"/>
    <w:rsid w:val="002D2C3B"/>
    <w:rsid w:val="002D31BA"/>
    <w:rsid w:val="002D34B2"/>
    <w:rsid w:val="002D3503"/>
    <w:rsid w:val="002D36F6"/>
    <w:rsid w:val="002D3779"/>
    <w:rsid w:val="002D377D"/>
    <w:rsid w:val="002D39A5"/>
    <w:rsid w:val="002D3DFD"/>
    <w:rsid w:val="002D4516"/>
    <w:rsid w:val="002D489D"/>
    <w:rsid w:val="002D48B0"/>
    <w:rsid w:val="002D4B40"/>
    <w:rsid w:val="002D4C83"/>
    <w:rsid w:val="002D4E02"/>
    <w:rsid w:val="002D4F08"/>
    <w:rsid w:val="002D5B37"/>
    <w:rsid w:val="002D5CDC"/>
    <w:rsid w:val="002D65D6"/>
    <w:rsid w:val="002D66C7"/>
    <w:rsid w:val="002D6B60"/>
    <w:rsid w:val="002D6D46"/>
    <w:rsid w:val="002D6F21"/>
    <w:rsid w:val="002D7127"/>
    <w:rsid w:val="002D71D8"/>
    <w:rsid w:val="002D7535"/>
    <w:rsid w:val="002D757F"/>
    <w:rsid w:val="002D7637"/>
    <w:rsid w:val="002D7F0B"/>
    <w:rsid w:val="002E0295"/>
    <w:rsid w:val="002E116C"/>
    <w:rsid w:val="002E16F6"/>
    <w:rsid w:val="002E17F2"/>
    <w:rsid w:val="002E1896"/>
    <w:rsid w:val="002E1CEE"/>
    <w:rsid w:val="002E1F82"/>
    <w:rsid w:val="002E202F"/>
    <w:rsid w:val="002E26A6"/>
    <w:rsid w:val="002E2C56"/>
    <w:rsid w:val="002E2E9B"/>
    <w:rsid w:val="002E354F"/>
    <w:rsid w:val="002E4409"/>
    <w:rsid w:val="002E4CE5"/>
    <w:rsid w:val="002E4D49"/>
    <w:rsid w:val="002E566C"/>
    <w:rsid w:val="002E5CC0"/>
    <w:rsid w:val="002E61B5"/>
    <w:rsid w:val="002E6B7B"/>
    <w:rsid w:val="002E6E4B"/>
    <w:rsid w:val="002E7065"/>
    <w:rsid w:val="002E71BD"/>
    <w:rsid w:val="002E7686"/>
    <w:rsid w:val="002E77ED"/>
    <w:rsid w:val="002E7CAE"/>
    <w:rsid w:val="002E7DE4"/>
    <w:rsid w:val="002F05AD"/>
    <w:rsid w:val="002F05BF"/>
    <w:rsid w:val="002F08A3"/>
    <w:rsid w:val="002F10C7"/>
    <w:rsid w:val="002F16D5"/>
    <w:rsid w:val="002F1BD0"/>
    <w:rsid w:val="002F2634"/>
    <w:rsid w:val="002F2771"/>
    <w:rsid w:val="002F29CB"/>
    <w:rsid w:val="002F2A3C"/>
    <w:rsid w:val="002F2B18"/>
    <w:rsid w:val="002F37A9"/>
    <w:rsid w:val="002F3C19"/>
    <w:rsid w:val="002F3E66"/>
    <w:rsid w:val="002F4493"/>
    <w:rsid w:val="002F4C0B"/>
    <w:rsid w:val="002F4F74"/>
    <w:rsid w:val="002F52A1"/>
    <w:rsid w:val="002F573F"/>
    <w:rsid w:val="002F5F20"/>
    <w:rsid w:val="002F5F3C"/>
    <w:rsid w:val="002F6602"/>
    <w:rsid w:val="002F666C"/>
    <w:rsid w:val="002F6904"/>
    <w:rsid w:val="002F69CD"/>
    <w:rsid w:val="002F6C56"/>
    <w:rsid w:val="003007C1"/>
    <w:rsid w:val="0030113C"/>
    <w:rsid w:val="00301CE6"/>
    <w:rsid w:val="0030256B"/>
    <w:rsid w:val="003027EC"/>
    <w:rsid w:val="00302B8C"/>
    <w:rsid w:val="00303246"/>
    <w:rsid w:val="003033E1"/>
    <w:rsid w:val="00303599"/>
    <w:rsid w:val="003039EF"/>
    <w:rsid w:val="00303F47"/>
    <w:rsid w:val="003043A1"/>
    <w:rsid w:val="003043D2"/>
    <w:rsid w:val="0030501F"/>
    <w:rsid w:val="0030555C"/>
    <w:rsid w:val="0030572A"/>
    <w:rsid w:val="00305813"/>
    <w:rsid w:val="00305B23"/>
    <w:rsid w:val="003063B2"/>
    <w:rsid w:val="0030693A"/>
    <w:rsid w:val="00307BA1"/>
    <w:rsid w:val="0031071B"/>
    <w:rsid w:val="00310A66"/>
    <w:rsid w:val="00310B97"/>
    <w:rsid w:val="003111E0"/>
    <w:rsid w:val="00311702"/>
    <w:rsid w:val="003118BE"/>
    <w:rsid w:val="00311BDF"/>
    <w:rsid w:val="00311D77"/>
    <w:rsid w:val="00311E4A"/>
    <w:rsid w:val="00311E82"/>
    <w:rsid w:val="00312426"/>
    <w:rsid w:val="003127D1"/>
    <w:rsid w:val="003131F9"/>
    <w:rsid w:val="00313A18"/>
    <w:rsid w:val="00313B79"/>
    <w:rsid w:val="00313C81"/>
    <w:rsid w:val="00313FD6"/>
    <w:rsid w:val="003143BD"/>
    <w:rsid w:val="003143DE"/>
    <w:rsid w:val="00314CEB"/>
    <w:rsid w:val="00315363"/>
    <w:rsid w:val="00315524"/>
    <w:rsid w:val="00315D93"/>
    <w:rsid w:val="00315F32"/>
    <w:rsid w:val="003163AD"/>
    <w:rsid w:val="003168FB"/>
    <w:rsid w:val="00316CC0"/>
    <w:rsid w:val="00316E64"/>
    <w:rsid w:val="003170F9"/>
    <w:rsid w:val="003173A4"/>
    <w:rsid w:val="0031789F"/>
    <w:rsid w:val="00317E80"/>
    <w:rsid w:val="003203ED"/>
    <w:rsid w:val="003205CB"/>
    <w:rsid w:val="003205DE"/>
    <w:rsid w:val="00320A3C"/>
    <w:rsid w:val="00320D3A"/>
    <w:rsid w:val="00321401"/>
    <w:rsid w:val="00321970"/>
    <w:rsid w:val="00321D82"/>
    <w:rsid w:val="003226D7"/>
    <w:rsid w:val="00322C9F"/>
    <w:rsid w:val="00322E98"/>
    <w:rsid w:val="00322F51"/>
    <w:rsid w:val="003233F9"/>
    <w:rsid w:val="0032351E"/>
    <w:rsid w:val="00323C8F"/>
    <w:rsid w:val="00324018"/>
    <w:rsid w:val="00324D16"/>
    <w:rsid w:val="00324D23"/>
    <w:rsid w:val="00324ECC"/>
    <w:rsid w:val="00325AE8"/>
    <w:rsid w:val="00325E1B"/>
    <w:rsid w:val="003266E9"/>
    <w:rsid w:val="00327B12"/>
    <w:rsid w:val="00327D11"/>
    <w:rsid w:val="00330500"/>
    <w:rsid w:val="00330EF8"/>
    <w:rsid w:val="00331751"/>
    <w:rsid w:val="003318AA"/>
    <w:rsid w:val="00331FF8"/>
    <w:rsid w:val="00332447"/>
    <w:rsid w:val="00332609"/>
    <w:rsid w:val="003326CD"/>
    <w:rsid w:val="00332C9D"/>
    <w:rsid w:val="00332F44"/>
    <w:rsid w:val="0033352C"/>
    <w:rsid w:val="00333605"/>
    <w:rsid w:val="00334018"/>
    <w:rsid w:val="00334579"/>
    <w:rsid w:val="0033483A"/>
    <w:rsid w:val="003348FE"/>
    <w:rsid w:val="00334ECE"/>
    <w:rsid w:val="003354BC"/>
    <w:rsid w:val="00335858"/>
    <w:rsid w:val="0033610E"/>
    <w:rsid w:val="003361F1"/>
    <w:rsid w:val="00336663"/>
    <w:rsid w:val="00336A54"/>
    <w:rsid w:val="00336AFA"/>
    <w:rsid w:val="00336BDA"/>
    <w:rsid w:val="00337078"/>
    <w:rsid w:val="00337155"/>
    <w:rsid w:val="003371BC"/>
    <w:rsid w:val="003379B0"/>
    <w:rsid w:val="00337D09"/>
    <w:rsid w:val="00337F2B"/>
    <w:rsid w:val="00340427"/>
    <w:rsid w:val="003408D0"/>
    <w:rsid w:val="00340A11"/>
    <w:rsid w:val="00341CB1"/>
    <w:rsid w:val="00342113"/>
    <w:rsid w:val="00342542"/>
    <w:rsid w:val="00342A36"/>
    <w:rsid w:val="00342BD7"/>
    <w:rsid w:val="00342FD3"/>
    <w:rsid w:val="00343727"/>
    <w:rsid w:val="00343A9D"/>
    <w:rsid w:val="003447BE"/>
    <w:rsid w:val="003447DF"/>
    <w:rsid w:val="00344EAD"/>
    <w:rsid w:val="003456A0"/>
    <w:rsid w:val="0034581B"/>
    <w:rsid w:val="00346022"/>
    <w:rsid w:val="00346334"/>
    <w:rsid w:val="003463B2"/>
    <w:rsid w:val="00346CF5"/>
    <w:rsid w:val="00346DB5"/>
    <w:rsid w:val="003477B1"/>
    <w:rsid w:val="00347A21"/>
    <w:rsid w:val="00347FBA"/>
    <w:rsid w:val="00347FF1"/>
    <w:rsid w:val="003507C7"/>
    <w:rsid w:val="00350881"/>
    <w:rsid w:val="00350919"/>
    <w:rsid w:val="00350B52"/>
    <w:rsid w:val="00350EB3"/>
    <w:rsid w:val="003513E8"/>
    <w:rsid w:val="00351605"/>
    <w:rsid w:val="0035275F"/>
    <w:rsid w:val="003528E5"/>
    <w:rsid w:val="00352DE8"/>
    <w:rsid w:val="00353A27"/>
    <w:rsid w:val="00353A50"/>
    <w:rsid w:val="00353BFF"/>
    <w:rsid w:val="00353CBE"/>
    <w:rsid w:val="00355301"/>
    <w:rsid w:val="00356151"/>
    <w:rsid w:val="00356FA0"/>
    <w:rsid w:val="00357115"/>
    <w:rsid w:val="00357380"/>
    <w:rsid w:val="00357F5F"/>
    <w:rsid w:val="00360262"/>
    <w:rsid w:val="003602D9"/>
    <w:rsid w:val="003604CE"/>
    <w:rsid w:val="003606DE"/>
    <w:rsid w:val="00360DCA"/>
    <w:rsid w:val="0036104D"/>
    <w:rsid w:val="00361A8A"/>
    <w:rsid w:val="00361B67"/>
    <w:rsid w:val="003621B2"/>
    <w:rsid w:val="003621DE"/>
    <w:rsid w:val="0036257D"/>
    <w:rsid w:val="00363B56"/>
    <w:rsid w:val="003640B6"/>
    <w:rsid w:val="003642E0"/>
    <w:rsid w:val="003643E1"/>
    <w:rsid w:val="00364442"/>
    <w:rsid w:val="003659F0"/>
    <w:rsid w:val="00365B45"/>
    <w:rsid w:val="00366361"/>
    <w:rsid w:val="003677AF"/>
    <w:rsid w:val="00367A9C"/>
    <w:rsid w:val="00367D6C"/>
    <w:rsid w:val="00370E47"/>
    <w:rsid w:val="003712A2"/>
    <w:rsid w:val="00371459"/>
    <w:rsid w:val="00371986"/>
    <w:rsid w:val="00371D1C"/>
    <w:rsid w:val="00371F69"/>
    <w:rsid w:val="00372527"/>
    <w:rsid w:val="00372606"/>
    <w:rsid w:val="00372D53"/>
    <w:rsid w:val="00372D7D"/>
    <w:rsid w:val="00372DFD"/>
    <w:rsid w:val="00373954"/>
    <w:rsid w:val="00373C38"/>
    <w:rsid w:val="00374159"/>
    <w:rsid w:val="003742AC"/>
    <w:rsid w:val="0037433A"/>
    <w:rsid w:val="003747E2"/>
    <w:rsid w:val="00374E5A"/>
    <w:rsid w:val="003760C2"/>
    <w:rsid w:val="0037684F"/>
    <w:rsid w:val="00377128"/>
    <w:rsid w:val="0037739D"/>
    <w:rsid w:val="00377CAC"/>
    <w:rsid w:val="00377CE1"/>
    <w:rsid w:val="0038035F"/>
    <w:rsid w:val="003806E8"/>
    <w:rsid w:val="003807A4"/>
    <w:rsid w:val="00381182"/>
    <w:rsid w:val="003818F4"/>
    <w:rsid w:val="00381B9E"/>
    <w:rsid w:val="00381D23"/>
    <w:rsid w:val="003820ED"/>
    <w:rsid w:val="00382508"/>
    <w:rsid w:val="00383263"/>
    <w:rsid w:val="00383969"/>
    <w:rsid w:val="0038398F"/>
    <w:rsid w:val="00383F71"/>
    <w:rsid w:val="003846A2"/>
    <w:rsid w:val="00384B74"/>
    <w:rsid w:val="00384D60"/>
    <w:rsid w:val="00384DAE"/>
    <w:rsid w:val="003852C6"/>
    <w:rsid w:val="00385962"/>
    <w:rsid w:val="0038598B"/>
    <w:rsid w:val="00385AE9"/>
    <w:rsid w:val="00385BF0"/>
    <w:rsid w:val="0038663F"/>
    <w:rsid w:val="003867EC"/>
    <w:rsid w:val="00386997"/>
    <w:rsid w:val="00386C35"/>
    <w:rsid w:val="00386C6B"/>
    <w:rsid w:val="00386FE5"/>
    <w:rsid w:val="003872D4"/>
    <w:rsid w:val="003873AA"/>
    <w:rsid w:val="003875A4"/>
    <w:rsid w:val="003902F7"/>
    <w:rsid w:val="00390972"/>
    <w:rsid w:val="00390A80"/>
    <w:rsid w:val="00390FC5"/>
    <w:rsid w:val="003916B9"/>
    <w:rsid w:val="00391E75"/>
    <w:rsid w:val="00391FE7"/>
    <w:rsid w:val="00392313"/>
    <w:rsid w:val="003929DE"/>
    <w:rsid w:val="00392E23"/>
    <w:rsid w:val="00392F82"/>
    <w:rsid w:val="00393320"/>
    <w:rsid w:val="0039338F"/>
    <w:rsid w:val="003936EF"/>
    <w:rsid w:val="003938BD"/>
    <w:rsid w:val="0039393A"/>
    <w:rsid w:val="003939FF"/>
    <w:rsid w:val="00393A05"/>
    <w:rsid w:val="00393D16"/>
    <w:rsid w:val="00394222"/>
    <w:rsid w:val="003945AD"/>
    <w:rsid w:val="00394F2F"/>
    <w:rsid w:val="00394FAB"/>
    <w:rsid w:val="00395D7F"/>
    <w:rsid w:val="0039624B"/>
    <w:rsid w:val="003962BC"/>
    <w:rsid w:val="00396983"/>
    <w:rsid w:val="00397290"/>
    <w:rsid w:val="00397428"/>
    <w:rsid w:val="00397AF8"/>
    <w:rsid w:val="00397D80"/>
    <w:rsid w:val="00397E31"/>
    <w:rsid w:val="003A0220"/>
    <w:rsid w:val="003A0F49"/>
    <w:rsid w:val="003A204A"/>
    <w:rsid w:val="003A2223"/>
    <w:rsid w:val="003A274A"/>
    <w:rsid w:val="003A2A0F"/>
    <w:rsid w:val="003A3487"/>
    <w:rsid w:val="003A3C90"/>
    <w:rsid w:val="003A3EB5"/>
    <w:rsid w:val="003A45A1"/>
    <w:rsid w:val="003A4E66"/>
    <w:rsid w:val="003A5238"/>
    <w:rsid w:val="003A5244"/>
    <w:rsid w:val="003A5B0A"/>
    <w:rsid w:val="003A5B46"/>
    <w:rsid w:val="003A6BAC"/>
    <w:rsid w:val="003A6D71"/>
    <w:rsid w:val="003A70A4"/>
    <w:rsid w:val="003A70A7"/>
    <w:rsid w:val="003A72A8"/>
    <w:rsid w:val="003A79A3"/>
    <w:rsid w:val="003A7EF3"/>
    <w:rsid w:val="003A7F9E"/>
    <w:rsid w:val="003A7FB8"/>
    <w:rsid w:val="003B07B3"/>
    <w:rsid w:val="003B10B0"/>
    <w:rsid w:val="003B1412"/>
    <w:rsid w:val="003B159C"/>
    <w:rsid w:val="003B16AF"/>
    <w:rsid w:val="003B1AC3"/>
    <w:rsid w:val="003B1B8A"/>
    <w:rsid w:val="003B1E91"/>
    <w:rsid w:val="003B298F"/>
    <w:rsid w:val="003B2E5E"/>
    <w:rsid w:val="003B2F0E"/>
    <w:rsid w:val="003B33B2"/>
    <w:rsid w:val="003B369F"/>
    <w:rsid w:val="003B36A3"/>
    <w:rsid w:val="003B3C40"/>
    <w:rsid w:val="003B411A"/>
    <w:rsid w:val="003B4181"/>
    <w:rsid w:val="003B49E2"/>
    <w:rsid w:val="003B4DFA"/>
    <w:rsid w:val="003B5792"/>
    <w:rsid w:val="003B64BB"/>
    <w:rsid w:val="003B6571"/>
    <w:rsid w:val="003B6817"/>
    <w:rsid w:val="003B686D"/>
    <w:rsid w:val="003B6D2C"/>
    <w:rsid w:val="003B6E0C"/>
    <w:rsid w:val="003B6FDC"/>
    <w:rsid w:val="003B7431"/>
    <w:rsid w:val="003B7B83"/>
    <w:rsid w:val="003B7EA7"/>
    <w:rsid w:val="003B7EF5"/>
    <w:rsid w:val="003B7FE5"/>
    <w:rsid w:val="003C017E"/>
    <w:rsid w:val="003C0D6F"/>
    <w:rsid w:val="003C0F5C"/>
    <w:rsid w:val="003C1052"/>
    <w:rsid w:val="003C11C8"/>
    <w:rsid w:val="003C1742"/>
    <w:rsid w:val="003C199C"/>
    <w:rsid w:val="003C1AF5"/>
    <w:rsid w:val="003C2702"/>
    <w:rsid w:val="003C446B"/>
    <w:rsid w:val="003C4A03"/>
    <w:rsid w:val="003C4AED"/>
    <w:rsid w:val="003C4B46"/>
    <w:rsid w:val="003C52CA"/>
    <w:rsid w:val="003C5E47"/>
    <w:rsid w:val="003C6477"/>
    <w:rsid w:val="003C7587"/>
    <w:rsid w:val="003C7806"/>
    <w:rsid w:val="003C7D18"/>
    <w:rsid w:val="003D087F"/>
    <w:rsid w:val="003D09DF"/>
    <w:rsid w:val="003D0C30"/>
    <w:rsid w:val="003D109F"/>
    <w:rsid w:val="003D137A"/>
    <w:rsid w:val="003D1DCA"/>
    <w:rsid w:val="003D1F9C"/>
    <w:rsid w:val="003D2346"/>
    <w:rsid w:val="003D2478"/>
    <w:rsid w:val="003D25ED"/>
    <w:rsid w:val="003D2947"/>
    <w:rsid w:val="003D2C49"/>
    <w:rsid w:val="003D330D"/>
    <w:rsid w:val="003D3B22"/>
    <w:rsid w:val="003D3C45"/>
    <w:rsid w:val="003D3F4E"/>
    <w:rsid w:val="003D4293"/>
    <w:rsid w:val="003D568E"/>
    <w:rsid w:val="003D572B"/>
    <w:rsid w:val="003D5797"/>
    <w:rsid w:val="003D5B1F"/>
    <w:rsid w:val="003D5BE8"/>
    <w:rsid w:val="003D6977"/>
    <w:rsid w:val="003D6F51"/>
    <w:rsid w:val="003D702D"/>
    <w:rsid w:val="003D706C"/>
    <w:rsid w:val="003D763A"/>
    <w:rsid w:val="003D7AB2"/>
    <w:rsid w:val="003D7AE5"/>
    <w:rsid w:val="003D7B3B"/>
    <w:rsid w:val="003D7B5F"/>
    <w:rsid w:val="003D7ED7"/>
    <w:rsid w:val="003E0F0D"/>
    <w:rsid w:val="003E1211"/>
    <w:rsid w:val="003E123D"/>
    <w:rsid w:val="003E1381"/>
    <w:rsid w:val="003E15FA"/>
    <w:rsid w:val="003E168D"/>
    <w:rsid w:val="003E1940"/>
    <w:rsid w:val="003E1E55"/>
    <w:rsid w:val="003E2135"/>
    <w:rsid w:val="003E2CB1"/>
    <w:rsid w:val="003E384A"/>
    <w:rsid w:val="003E3939"/>
    <w:rsid w:val="003E3959"/>
    <w:rsid w:val="003E4715"/>
    <w:rsid w:val="003E4765"/>
    <w:rsid w:val="003E4992"/>
    <w:rsid w:val="003E516E"/>
    <w:rsid w:val="003E55E4"/>
    <w:rsid w:val="003E7166"/>
    <w:rsid w:val="003E74E3"/>
    <w:rsid w:val="003E791E"/>
    <w:rsid w:val="003F0256"/>
    <w:rsid w:val="003F0323"/>
    <w:rsid w:val="003F05C7"/>
    <w:rsid w:val="003F0994"/>
    <w:rsid w:val="003F138D"/>
    <w:rsid w:val="003F198C"/>
    <w:rsid w:val="003F1AC4"/>
    <w:rsid w:val="003F1C8C"/>
    <w:rsid w:val="003F1D9A"/>
    <w:rsid w:val="003F2055"/>
    <w:rsid w:val="003F2135"/>
    <w:rsid w:val="003F2168"/>
    <w:rsid w:val="003F24BF"/>
    <w:rsid w:val="003F256A"/>
    <w:rsid w:val="003F29C8"/>
    <w:rsid w:val="003F2CD4"/>
    <w:rsid w:val="003F2D78"/>
    <w:rsid w:val="003F353E"/>
    <w:rsid w:val="003F39C4"/>
    <w:rsid w:val="003F4108"/>
    <w:rsid w:val="003F44E1"/>
    <w:rsid w:val="003F44EE"/>
    <w:rsid w:val="003F46F7"/>
    <w:rsid w:val="003F53EE"/>
    <w:rsid w:val="003F55E0"/>
    <w:rsid w:val="003F5691"/>
    <w:rsid w:val="003F58DC"/>
    <w:rsid w:val="003F668F"/>
    <w:rsid w:val="003F6718"/>
    <w:rsid w:val="003F6BBE"/>
    <w:rsid w:val="003F7375"/>
    <w:rsid w:val="003F7809"/>
    <w:rsid w:val="004000E8"/>
    <w:rsid w:val="00400385"/>
    <w:rsid w:val="00400963"/>
    <w:rsid w:val="004009A2"/>
    <w:rsid w:val="00400A7D"/>
    <w:rsid w:val="0040112D"/>
    <w:rsid w:val="0040132F"/>
    <w:rsid w:val="00401722"/>
    <w:rsid w:val="004019BE"/>
    <w:rsid w:val="00401B86"/>
    <w:rsid w:val="00401BE2"/>
    <w:rsid w:val="00401D23"/>
    <w:rsid w:val="00402C40"/>
    <w:rsid w:val="00402C4D"/>
    <w:rsid w:val="00402E2B"/>
    <w:rsid w:val="00402E3E"/>
    <w:rsid w:val="00402F9D"/>
    <w:rsid w:val="00403454"/>
    <w:rsid w:val="004036F2"/>
    <w:rsid w:val="00404007"/>
    <w:rsid w:val="004044B6"/>
    <w:rsid w:val="00404943"/>
    <w:rsid w:val="00405027"/>
    <w:rsid w:val="0040512B"/>
    <w:rsid w:val="0040521C"/>
    <w:rsid w:val="00405CA5"/>
    <w:rsid w:val="00405E3D"/>
    <w:rsid w:val="00405FF1"/>
    <w:rsid w:val="004062B1"/>
    <w:rsid w:val="004063D5"/>
    <w:rsid w:val="00406B3C"/>
    <w:rsid w:val="00406EE1"/>
    <w:rsid w:val="004073E6"/>
    <w:rsid w:val="00407425"/>
    <w:rsid w:val="004075B9"/>
    <w:rsid w:val="004075DD"/>
    <w:rsid w:val="00407B2B"/>
    <w:rsid w:val="00407CD3"/>
    <w:rsid w:val="00410134"/>
    <w:rsid w:val="0041059B"/>
    <w:rsid w:val="00410B72"/>
    <w:rsid w:val="00410EFB"/>
    <w:rsid w:val="00410F18"/>
    <w:rsid w:val="00410FA8"/>
    <w:rsid w:val="00411342"/>
    <w:rsid w:val="00411723"/>
    <w:rsid w:val="00411781"/>
    <w:rsid w:val="00412152"/>
    <w:rsid w:val="004125BF"/>
    <w:rsid w:val="0041263E"/>
    <w:rsid w:val="00412A53"/>
    <w:rsid w:val="00412C33"/>
    <w:rsid w:val="004132CB"/>
    <w:rsid w:val="004135F6"/>
    <w:rsid w:val="00413AAC"/>
    <w:rsid w:val="00413E92"/>
    <w:rsid w:val="00413F9A"/>
    <w:rsid w:val="00415498"/>
    <w:rsid w:val="004155DA"/>
    <w:rsid w:val="00416A5F"/>
    <w:rsid w:val="00416C0C"/>
    <w:rsid w:val="00416E63"/>
    <w:rsid w:val="00417144"/>
    <w:rsid w:val="004171D8"/>
    <w:rsid w:val="004173C3"/>
    <w:rsid w:val="00417415"/>
    <w:rsid w:val="0041770F"/>
    <w:rsid w:val="00420255"/>
    <w:rsid w:val="00420397"/>
    <w:rsid w:val="004208C0"/>
    <w:rsid w:val="00420A1E"/>
    <w:rsid w:val="00420DCC"/>
    <w:rsid w:val="00421105"/>
    <w:rsid w:val="004212EC"/>
    <w:rsid w:val="00421981"/>
    <w:rsid w:val="00421A46"/>
    <w:rsid w:val="00421FD7"/>
    <w:rsid w:val="004221AD"/>
    <w:rsid w:val="00422238"/>
    <w:rsid w:val="0042236E"/>
    <w:rsid w:val="00422AA4"/>
    <w:rsid w:val="00422BC5"/>
    <w:rsid w:val="00422CD3"/>
    <w:rsid w:val="00422F29"/>
    <w:rsid w:val="00423685"/>
    <w:rsid w:val="00423EE3"/>
    <w:rsid w:val="004242F4"/>
    <w:rsid w:val="004246B5"/>
    <w:rsid w:val="0042477E"/>
    <w:rsid w:val="00424ADC"/>
    <w:rsid w:val="00424E7B"/>
    <w:rsid w:val="004252E1"/>
    <w:rsid w:val="00425591"/>
    <w:rsid w:val="00427248"/>
    <w:rsid w:val="00427F26"/>
    <w:rsid w:val="00427F51"/>
    <w:rsid w:val="0043067C"/>
    <w:rsid w:val="004306A0"/>
    <w:rsid w:val="0043082C"/>
    <w:rsid w:val="00430968"/>
    <w:rsid w:val="00430D3E"/>
    <w:rsid w:val="004312CC"/>
    <w:rsid w:val="00431861"/>
    <w:rsid w:val="004318EE"/>
    <w:rsid w:val="00431A0C"/>
    <w:rsid w:val="00433599"/>
    <w:rsid w:val="0043371D"/>
    <w:rsid w:val="00433A4A"/>
    <w:rsid w:val="00434009"/>
    <w:rsid w:val="00434402"/>
    <w:rsid w:val="00434483"/>
    <w:rsid w:val="00434575"/>
    <w:rsid w:val="00435018"/>
    <w:rsid w:val="00435859"/>
    <w:rsid w:val="00435E39"/>
    <w:rsid w:val="0043616D"/>
    <w:rsid w:val="00436421"/>
    <w:rsid w:val="00436547"/>
    <w:rsid w:val="0043657E"/>
    <w:rsid w:val="00437447"/>
    <w:rsid w:val="004375A3"/>
    <w:rsid w:val="00437BFB"/>
    <w:rsid w:val="00440576"/>
    <w:rsid w:val="00441495"/>
    <w:rsid w:val="004415FF"/>
    <w:rsid w:val="00441A92"/>
    <w:rsid w:val="00442386"/>
    <w:rsid w:val="004429F4"/>
    <w:rsid w:val="00442D34"/>
    <w:rsid w:val="00442ED9"/>
    <w:rsid w:val="004431DC"/>
    <w:rsid w:val="004433F5"/>
    <w:rsid w:val="00443455"/>
    <w:rsid w:val="00443508"/>
    <w:rsid w:val="0044357A"/>
    <w:rsid w:val="00443D8F"/>
    <w:rsid w:val="00444892"/>
    <w:rsid w:val="00444F56"/>
    <w:rsid w:val="00445061"/>
    <w:rsid w:val="0044580C"/>
    <w:rsid w:val="00445B66"/>
    <w:rsid w:val="00446040"/>
    <w:rsid w:val="00446488"/>
    <w:rsid w:val="0044649F"/>
    <w:rsid w:val="004464D7"/>
    <w:rsid w:val="00446A79"/>
    <w:rsid w:val="00447061"/>
    <w:rsid w:val="004471BF"/>
    <w:rsid w:val="00447683"/>
    <w:rsid w:val="004477E4"/>
    <w:rsid w:val="00447D2B"/>
    <w:rsid w:val="0045001D"/>
    <w:rsid w:val="004508E8"/>
    <w:rsid w:val="00450CD0"/>
    <w:rsid w:val="0045138A"/>
    <w:rsid w:val="00451620"/>
    <w:rsid w:val="0045162E"/>
    <w:rsid w:val="004517AA"/>
    <w:rsid w:val="00452047"/>
    <w:rsid w:val="0045259C"/>
    <w:rsid w:val="00452832"/>
    <w:rsid w:val="00452958"/>
    <w:rsid w:val="00452CAC"/>
    <w:rsid w:val="004531C7"/>
    <w:rsid w:val="0045336A"/>
    <w:rsid w:val="004543BC"/>
    <w:rsid w:val="00455086"/>
    <w:rsid w:val="0045532E"/>
    <w:rsid w:val="00455348"/>
    <w:rsid w:val="00455739"/>
    <w:rsid w:val="0045585D"/>
    <w:rsid w:val="00455944"/>
    <w:rsid w:val="00455B54"/>
    <w:rsid w:val="00455BBC"/>
    <w:rsid w:val="004565B0"/>
    <w:rsid w:val="0045700B"/>
    <w:rsid w:val="0045715F"/>
    <w:rsid w:val="00457290"/>
    <w:rsid w:val="00457358"/>
    <w:rsid w:val="00457565"/>
    <w:rsid w:val="0045767F"/>
    <w:rsid w:val="00457B71"/>
    <w:rsid w:val="00457EDA"/>
    <w:rsid w:val="00457F14"/>
    <w:rsid w:val="00460279"/>
    <w:rsid w:val="004602A1"/>
    <w:rsid w:val="00460F9E"/>
    <w:rsid w:val="00460FE7"/>
    <w:rsid w:val="00462938"/>
    <w:rsid w:val="00462DE8"/>
    <w:rsid w:val="004638ED"/>
    <w:rsid w:val="00464955"/>
    <w:rsid w:val="00464EB9"/>
    <w:rsid w:val="004661E1"/>
    <w:rsid w:val="00466411"/>
    <w:rsid w:val="0046687A"/>
    <w:rsid w:val="004669E2"/>
    <w:rsid w:val="00466A35"/>
    <w:rsid w:val="00467415"/>
    <w:rsid w:val="00467D19"/>
    <w:rsid w:val="00470C31"/>
    <w:rsid w:val="00470C85"/>
    <w:rsid w:val="00471413"/>
    <w:rsid w:val="00471DE0"/>
    <w:rsid w:val="00472FF4"/>
    <w:rsid w:val="004734D0"/>
    <w:rsid w:val="004736DE"/>
    <w:rsid w:val="00474CD4"/>
    <w:rsid w:val="00474E72"/>
    <w:rsid w:val="004754B9"/>
    <w:rsid w:val="0047556B"/>
    <w:rsid w:val="00475614"/>
    <w:rsid w:val="0047561A"/>
    <w:rsid w:val="004757AE"/>
    <w:rsid w:val="004759C9"/>
    <w:rsid w:val="00475C3D"/>
    <w:rsid w:val="0047666D"/>
    <w:rsid w:val="00476EDB"/>
    <w:rsid w:val="0047721A"/>
    <w:rsid w:val="00477768"/>
    <w:rsid w:val="0047779A"/>
    <w:rsid w:val="00477A1E"/>
    <w:rsid w:val="00477A31"/>
    <w:rsid w:val="00477BDD"/>
    <w:rsid w:val="00477D96"/>
    <w:rsid w:val="00480655"/>
    <w:rsid w:val="00480EE1"/>
    <w:rsid w:val="004811A8"/>
    <w:rsid w:val="004812D6"/>
    <w:rsid w:val="00481C1A"/>
    <w:rsid w:val="004828D4"/>
    <w:rsid w:val="00483DDE"/>
    <w:rsid w:val="00484D81"/>
    <w:rsid w:val="0048638B"/>
    <w:rsid w:val="004865FD"/>
    <w:rsid w:val="0048685C"/>
    <w:rsid w:val="00487D85"/>
    <w:rsid w:val="00487E60"/>
    <w:rsid w:val="00487EA7"/>
    <w:rsid w:val="004909CE"/>
    <w:rsid w:val="00490AF1"/>
    <w:rsid w:val="0049169F"/>
    <w:rsid w:val="00491F2F"/>
    <w:rsid w:val="00492BC5"/>
    <w:rsid w:val="00493182"/>
    <w:rsid w:val="0049351E"/>
    <w:rsid w:val="00494268"/>
    <w:rsid w:val="00494289"/>
    <w:rsid w:val="004945D0"/>
    <w:rsid w:val="004947D8"/>
    <w:rsid w:val="004951BD"/>
    <w:rsid w:val="0049526A"/>
    <w:rsid w:val="004964F1"/>
    <w:rsid w:val="0049690B"/>
    <w:rsid w:val="00496AAA"/>
    <w:rsid w:val="00496AC5"/>
    <w:rsid w:val="00496D87"/>
    <w:rsid w:val="004A0445"/>
    <w:rsid w:val="004A07CF"/>
    <w:rsid w:val="004A0A5B"/>
    <w:rsid w:val="004A0A87"/>
    <w:rsid w:val="004A16BC"/>
    <w:rsid w:val="004A198A"/>
    <w:rsid w:val="004A1F40"/>
    <w:rsid w:val="004A2467"/>
    <w:rsid w:val="004A259F"/>
    <w:rsid w:val="004A2B94"/>
    <w:rsid w:val="004A39C0"/>
    <w:rsid w:val="004A3C7D"/>
    <w:rsid w:val="004A4422"/>
    <w:rsid w:val="004A46D3"/>
    <w:rsid w:val="004A48E0"/>
    <w:rsid w:val="004A4BBB"/>
    <w:rsid w:val="004A5031"/>
    <w:rsid w:val="004A5241"/>
    <w:rsid w:val="004A52D3"/>
    <w:rsid w:val="004A57DB"/>
    <w:rsid w:val="004A594F"/>
    <w:rsid w:val="004A685A"/>
    <w:rsid w:val="004A7097"/>
    <w:rsid w:val="004A71DE"/>
    <w:rsid w:val="004A7538"/>
    <w:rsid w:val="004A7662"/>
    <w:rsid w:val="004A779A"/>
    <w:rsid w:val="004A78F1"/>
    <w:rsid w:val="004A7C2B"/>
    <w:rsid w:val="004B0110"/>
    <w:rsid w:val="004B017D"/>
    <w:rsid w:val="004B02A4"/>
    <w:rsid w:val="004B0D61"/>
    <w:rsid w:val="004B1D6B"/>
    <w:rsid w:val="004B1D83"/>
    <w:rsid w:val="004B235B"/>
    <w:rsid w:val="004B23A5"/>
    <w:rsid w:val="004B27F2"/>
    <w:rsid w:val="004B2889"/>
    <w:rsid w:val="004B2C3B"/>
    <w:rsid w:val="004B2EDF"/>
    <w:rsid w:val="004B3699"/>
    <w:rsid w:val="004B3DE5"/>
    <w:rsid w:val="004B4336"/>
    <w:rsid w:val="004B442D"/>
    <w:rsid w:val="004B442F"/>
    <w:rsid w:val="004B4812"/>
    <w:rsid w:val="004B49A7"/>
    <w:rsid w:val="004B57A4"/>
    <w:rsid w:val="004B5907"/>
    <w:rsid w:val="004B6B0E"/>
    <w:rsid w:val="004B6F6A"/>
    <w:rsid w:val="004B7838"/>
    <w:rsid w:val="004B7AFF"/>
    <w:rsid w:val="004B7C0C"/>
    <w:rsid w:val="004C02EF"/>
    <w:rsid w:val="004C0BC4"/>
    <w:rsid w:val="004C1122"/>
    <w:rsid w:val="004C126E"/>
    <w:rsid w:val="004C1743"/>
    <w:rsid w:val="004C1F77"/>
    <w:rsid w:val="004C270C"/>
    <w:rsid w:val="004C32F2"/>
    <w:rsid w:val="004C3898"/>
    <w:rsid w:val="004C3E9D"/>
    <w:rsid w:val="004C47E2"/>
    <w:rsid w:val="004C52A6"/>
    <w:rsid w:val="004C5942"/>
    <w:rsid w:val="004C69A5"/>
    <w:rsid w:val="004C6C24"/>
    <w:rsid w:val="004C7381"/>
    <w:rsid w:val="004C759A"/>
    <w:rsid w:val="004C7925"/>
    <w:rsid w:val="004C7C5D"/>
    <w:rsid w:val="004D05C4"/>
    <w:rsid w:val="004D0654"/>
    <w:rsid w:val="004D0937"/>
    <w:rsid w:val="004D0ADF"/>
    <w:rsid w:val="004D0CD6"/>
    <w:rsid w:val="004D0E58"/>
    <w:rsid w:val="004D0F69"/>
    <w:rsid w:val="004D184A"/>
    <w:rsid w:val="004D25FF"/>
    <w:rsid w:val="004D3353"/>
    <w:rsid w:val="004D36B1"/>
    <w:rsid w:val="004D3813"/>
    <w:rsid w:val="004D5B62"/>
    <w:rsid w:val="004D5CD9"/>
    <w:rsid w:val="004D5E21"/>
    <w:rsid w:val="004D66FD"/>
    <w:rsid w:val="004D68A9"/>
    <w:rsid w:val="004D6F89"/>
    <w:rsid w:val="004D71A3"/>
    <w:rsid w:val="004D71F0"/>
    <w:rsid w:val="004D770E"/>
    <w:rsid w:val="004D7C4E"/>
    <w:rsid w:val="004D7EBD"/>
    <w:rsid w:val="004D7F85"/>
    <w:rsid w:val="004E0079"/>
    <w:rsid w:val="004E09AF"/>
    <w:rsid w:val="004E0E93"/>
    <w:rsid w:val="004E0F0A"/>
    <w:rsid w:val="004E124D"/>
    <w:rsid w:val="004E184D"/>
    <w:rsid w:val="004E18EB"/>
    <w:rsid w:val="004E1B77"/>
    <w:rsid w:val="004E2680"/>
    <w:rsid w:val="004E28F9"/>
    <w:rsid w:val="004E30A7"/>
    <w:rsid w:val="004E3134"/>
    <w:rsid w:val="004E38CA"/>
    <w:rsid w:val="004E3AC8"/>
    <w:rsid w:val="004E4391"/>
    <w:rsid w:val="004E462E"/>
    <w:rsid w:val="004E4AEA"/>
    <w:rsid w:val="004E4D32"/>
    <w:rsid w:val="004E56DC"/>
    <w:rsid w:val="004E5879"/>
    <w:rsid w:val="004E6194"/>
    <w:rsid w:val="004E6775"/>
    <w:rsid w:val="004E69D3"/>
    <w:rsid w:val="004E69ED"/>
    <w:rsid w:val="004E6E72"/>
    <w:rsid w:val="004E76F4"/>
    <w:rsid w:val="004E7749"/>
    <w:rsid w:val="004E7D28"/>
    <w:rsid w:val="004E7FE3"/>
    <w:rsid w:val="004F0686"/>
    <w:rsid w:val="004F0872"/>
    <w:rsid w:val="004F0B4E"/>
    <w:rsid w:val="004F0B6C"/>
    <w:rsid w:val="004F151C"/>
    <w:rsid w:val="004F1A79"/>
    <w:rsid w:val="004F1A80"/>
    <w:rsid w:val="004F1AD4"/>
    <w:rsid w:val="004F2078"/>
    <w:rsid w:val="004F2DB8"/>
    <w:rsid w:val="004F3126"/>
    <w:rsid w:val="004F3146"/>
    <w:rsid w:val="004F49C6"/>
    <w:rsid w:val="004F4B61"/>
    <w:rsid w:val="004F4DA3"/>
    <w:rsid w:val="004F53B5"/>
    <w:rsid w:val="004F550A"/>
    <w:rsid w:val="004F5B4E"/>
    <w:rsid w:val="004F5E33"/>
    <w:rsid w:val="004F60A3"/>
    <w:rsid w:val="004F63CC"/>
    <w:rsid w:val="004F6511"/>
    <w:rsid w:val="004F69F3"/>
    <w:rsid w:val="004F6B5C"/>
    <w:rsid w:val="004F6D51"/>
    <w:rsid w:val="004F715E"/>
    <w:rsid w:val="005007C5"/>
    <w:rsid w:val="00500F1F"/>
    <w:rsid w:val="005016C1"/>
    <w:rsid w:val="005018A9"/>
    <w:rsid w:val="00502245"/>
    <w:rsid w:val="005028F3"/>
    <w:rsid w:val="005028FA"/>
    <w:rsid w:val="00502A19"/>
    <w:rsid w:val="00502ADB"/>
    <w:rsid w:val="00502D9F"/>
    <w:rsid w:val="00502EF9"/>
    <w:rsid w:val="00503DE1"/>
    <w:rsid w:val="005040B2"/>
    <w:rsid w:val="005042AB"/>
    <w:rsid w:val="00504580"/>
    <w:rsid w:val="005049E1"/>
    <w:rsid w:val="00504A13"/>
    <w:rsid w:val="00504EF9"/>
    <w:rsid w:val="00505030"/>
    <w:rsid w:val="00505C92"/>
    <w:rsid w:val="00505E97"/>
    <w:rsid w:val="00506557"/>
    <w:rsid w:val="0050677A"/>
    <w:rsid w:val="00506E06"/>
    <w:rsid w:val="00507069"/>
    <w:rsid w:val="00507792"/>
    <w:rsid w:val="00507A06"/>
    <w:rsid w:val="005100F6"/>
    <w:rsid w:val="005108D8"/>
    <w:rsid w:val="005109C8"/>
    <w:rsid w:val="00510D7E"/>
    <w:rsid w:val="005116F9"/>
    <w:rsid w:val="00511BBA"/>
    <w:rsid w:val="00511D0F"/>
    <w:rsid w:val="005125FD"/>
    <w:rsid w:val="0051261B"/>
    <w:rsid w:val="005127FE"/>
    <w:rsid w:val="00513A4D"/>
    <w:rsid w:val="00514671"/>
    <w:rsid w:val="005153A7"/>
    <w:rsid w:val="00515424"/>
    <w:rsid w:val="00515DCB"/>
    <w:rsid w:val="00516107"/>
    <w:rsid w:val="005163DF"/>
    <w:rsid w:val="00516766"/>
    <w:rsid w:val="00516D60"/>
    <w:rsid w:val="005170EB"/>
    <w:rsid w:val="0051747F"/>
    <w:rsid w:val="00517C2A"/>
    <w:rsid w:val="00517CC7"/>
    <w:rsid w:val="00517EC1"/>
    <w:rsid w:val="0052017E"/>
    <w:rsid w:val="005204D0"/>
    <w:rsid w:val="005206B9"/>
    <w:rsid w:val="005208D2"/>
    <w:rsid w:val="00520BFC"/>
    <w:rsid w:val="00521035"/>
    <w:rsid w:val="005219CF"/>
    <w:rsid w:val="00521D10"/>
    <w:rsid w:val="00521D16"/>
    <w:rsid w:val="00522522"/>
    <w:rsid w:val="005229DE"/>
    <w:rsid w:val="00522B02"/>
    <w:rsid w:val="00522D3A"/>
    <w:rsid w:val="005236D7"/>
    <w:rsid w:val="005239AD"/>
    <w:rsid w:val="00525815"/>
    <w:rsid w:val="00525AD2"/>
    <w:rsid w:val="00525BDE"/>
    <w:rsid w:val="0052619D"/>
    <w:rsid w:val="00526A12"/>
    <w:rsid w:val="00526E2B"/>
    <w:rsid w:val="0053013C"/>
    <w:rsid w:val="00530CDB"/>
    <w:rsid w:val="00531243"/>
    <w:rsid w:val="00531DB7"/>
    <w:rsid w:val="00531EA3"/>
    <w:rsid w:val="005326E3"/>
    <w:rsid w:val="00532842"/>
    <w:rsid w:val="00532B3E"/>
    <w:rsid w:val="00533617"/>
    <w:rsid w:val="005339BC"/>
    <w:rsid w:val="00533B23"/>
    <w:rsid w:val="00533C2E"/>
    <w:rsid w:val="00533DF6"/>
    <w:rsid w:val="00534737"/>
    <w:rsid w:val="00534AA6"/>
    <w:rsid w:val="00534B59"/>
    <w:rsid w:val="00534CC4"/>
    <w:rsid w:val="00534D53"/>
    <w:rsid w:val="00534DBA"/>
    <w:rsid w:val="00534DC1"/>
    <w:rsid w:val="005353B6"/>
    <w:rsid w:val="00535648"/>
    <w:rsid w:val="00536277"/>
    <w:rsid w:val="00536759"/>
    <w:rsid w:val="0053719F"/>
    <w:rsid w:val="00537257"/>
    <w:rsid w:val="00537AE4"/>
    <w:rsid w:val="00537C62"/>
    <w:rsid w:val="00540E95"/>
    <w:rsid w:val="005411A3"/>
    <w:rsid w:val="0054163E"/>
    <w:rsid w:val="00541B28"/>
    <w:rsid w:val="00541E48"/>
    <w:rsid w:val="00541EF3"/>
    <w:rsid w:val="00542179"/>
    <w:rsid w:val="00543B05"/>
    <w:rsid w:val="00543B9A"/>
    <w:rsid w:val="00543E14"/>
    <w:rsid w:val="00543E42"/>
    <w:rsid w:val="00543F6B"/>
    <w:rsid w:val="0054486C"/>
    <w:rsid w:val="005449F8"/>
    <w:rsid w:val="00544A39"/>
    <w:rsid w:val="00545CE2"/>
    <w:rsid w:val="00545D29"/>
    <w:rsid w:val="00545D93"/>
    <w:rsid w:val="00545EDE"/>
    <w:rsid w:val="00546043"/>
    <w:rsid w:val="00546970"/>
    <w:rsid w:val="00546D4D"/>
    <w:rsid w:val="005471B9"/>
    <w:rsid w:val="0054759B"/>
    <w:rsid w:val="00550876"/>
    <w:rsid w:val="00551564"/>
    <w:rsid w:val="005515AF"/>
    <w:rsid w:val="00551D7D"/>
    <w:rsid w:val="005520B1"/>
    <w:rsid w:val="005524CB"/>
    <w:rsid w:val="0055252A"/>
    <w:rsid w:val="00553DBF"/>
    <w:rsid w:val="005540FF"/>
    <w:rsid w:val="005542C6"/>
    <w:rsid w:val="00554E19"/>
    <w:rsid w:val="00555203"/>
    <w:rsid w:val="00555A4D"/>
    <w:rsid w:val="0055687F"/>
    <w:rsid w:val="00556DED"/>
    <w:rsid w:val="00557354"/>
    <w:rsid w:val="00557456"/>
    <w:rsid w:val="005576C7"/>
    <w:rsid w:val="005577FA"/>
    <w:rsid w:val="0055792C"/>
    <w:rsid w:val="00557A9F"/>
    <w:rsid w:val="00557BDF"/>
    <w:rsid w:val="00560664"/>
    <w:rsid w:val="0056088D"/>
    <w:rsid w:val="00560E1A"/>
    <w:rsid w:val="00560FC9"/>
    <w:rsid w:val="005610BB"/>
    <w:rsid w:val="0056121F"/>
    <w:rsid w:val="005614A3"/>
    <w:rsid w:val="0056189A"/>
    <w:rsid w:val="00562E1D"/>
    <w:rsid w:val="005647DB"/>
    <w:rsid w:val="00564B6B"/>
    <w:rsid w:val="0056593C"/>
    <w:rsid w:val="00565E77"/>
    <w:rsid w:val="005667A5"/>
    <w:rsid w:val="00566D11"/>
    <w:rsid w:val="00567202"/>
    <w:rsid w:val="005674DD"/>
    <w:rsid w:val="00567656"/>
    <w:rsid w:val="00567BE0"/>
    <w:rsid w:val="0057047A"/>
    <w:rsid w:val="005707C6"/>
    <w:rsid w:val="00570CF6"/>
    <w:rsid w:val="00570FB4"/>
    <w:rsid w:val="0057112F"/>
    <w:rsid w:val="00571880"/>
    <w:rsid w:val="00571B31"/>
    <w:rsid w:val="00572440"/>
    <w:rsid w:val="00572505"/>
    <w:rsid w:val="00572CF4"/>
    <w:rsid w:val="005732F5"/>
    <w:rsid w:val="0057331C"/>
    <w:rsid w:val="00573345"/>
    <w:rsid w:val="005740A8"/>
    <w:rsid w:val="005742B3"/>
    <w:rsid w:val="0057449A"/>
    <w:rsid w:val="005744DF"/>
    <w:rsid w:val="00574ACE"/>
    <w:rsid w:val="00575869"/>
    <w:rsid w:val="00575977"/>
    <w:rsid w:val="00575DB5"/>
    <w:rsid w:val="00576791"/>
    <w:rsid w:val="00576CA3"/>
    <w:rsid w:val="00580040"/>
    <w:rsid w:val="00581226"/>
    <w:rsid w:val="00581720"/>
    <w:rsid w:val="005817A2"/>
    <w:rsid w:val="00581941"/>
    <w:rsid w:val="00582034"/>
    <w:rsid w:val="00582809"/>
    <w:rsid w:val="00582C45"/>
    <w:rsid w:val="00583002"/>
    <w:rsid w:val="00583440"/>
    <w:rsid w:val="005838A3"/>
    <w:rsid w:val="00583A77"/>
    <w:rsid w:val="00583F5D"/>
    <w:rsid w:val="00584243"/>
    <w:rsid w:val="005845C1"/>
    <w:rsid w:val="005849D5"/>
    <w:rsid w:val="005852FB"/>
    <w:rsid w:val="005858D1"/>
    <w:rsid w:val="0058595D"/>
    <w:rsid w:val="00586AEF"/>
    <w:rsid w:val="00586C9D"/>
    <w:rsid w:val="0058703F"/>
    <w:rsid w:val="0058798C"/>
    <w:rsid w:val="00587A07"/>
    <w:rsid w:val="00587CA6"/>
    <w:rsid w:val="005900FA"/>
    <w:rsid w:val="005901D4"/>
    <w:rsid w:val="00590918"/>
    <w:rsid w:val="00590C0A"/>
    <w:rsid w:val="00590F84"/>
    <w:rsid w:val="005912AA"/>
    <w:rsid w:val="00591411"/>
    <w:rsid w:val="005915F4"/>
    <w:rsid w:val="00591670"/>
    <w:rsid w:val="005917C2"/>
    <w:rsid w:val="005922EB"/>
    <w:rsid w:val="0059242B"/>
    <w:rsid w:val="005925B9"/>
    <w:rsid w:val="00592C4A"/>
    <w:rsid w:val="005935A4"/>
    <w:rsid w:val="00593BFB"/>
    <w:rsid w:val="0059416C"/>
    <w:rsid w:val="005948C2"/>
    <w:rsid w:val="005954C4"/>
    <w:rsid w:val="00595DCA"/>
    <w:rsid w:val="00596561"/>
    <w:rsid w:val="0059773B"/>
    <w:rsid w:val="0059779B"/>
    <w:rsid w:val="00597E77"/>
    <w:rsid w:val="005A0E18"/>
    <w:rsid w:val="005A0E46"/>
    <w:rsid w:val="005A1AB1"/>
    <w:rsid w:val="005A1D32"/>
    <w:rsid w:val="005A209A"/>
    <w:rsid w:val="005A2459"/>
    <w:rsid w:val="005A2588"/>
    <w:rsid w:val="005A32F2"/>
    <w:rsid w:val="005A4028"/>
    <w:rsid w:val="005A4267"/>
    <w:rsid w:val="005A4681"/>
    <w:rsid w:val="005A46A9"/>
    <w:rsid w:val="005A562F"/>
    <w:rsid w:val="005A57FB"/>
    <w:rsid w:val="005A5AD2"/>
    <w:rsid w:val="005A5FB2"/>
    <w:rsid w:val="005A5FFE"/>
    <w:rsid w:val="005A662D"/>
    <w:rsid w:val="005A6BB6"/>
    <w:rsid w:val="005A6EAB"/>
    <w:rsid w:val="005A7A0E"/>
    <w:rsid w:val="005B0490"/>
    <w:rsid w:val="005B0687"/>
    <w:rsid w:val="005B0700"/>
    <w:rsid w:val="005B0A00"/>
    <w:rsid w:val="005B1409"/>
    <w:rsid w:val="005B1B46"/>
    <w:rsid w:val="005B1BF1"/>
    <w:rsid w:val="005B23D1"/>
    <w:rsid w:val="005B2970"/>
    <w:rsid w:val="005B3278"/>
    <w:rsid w:val="005B3381"/>
    <w:rsid w:val="005B35D7"/>
    <w:rsid w:val="005B3809"/>
    <w:rsid w:val="005B392A"/>
    <w:rsid w:val="005B3AA3"/>
    <w:rsid w:val="005B3ADD"/>
    <w:rsid w:val="005B3F1E"/>
    <w:rsid w:val="005B4615"/>
    <w:rsid w:val="005B4C92"/>
    <w:rsid w:val="005B5644"/>
    <w:rsid w:val="005B60E6"/>
    <w:rsid w:val="005B65A4"/>
    <w:rsid w:val="005B6662"/>
    <w:rsid w:val="005B6CD8"/>
    <w:rsid w:val="005B6F83"/>
    <w:rsid w:val="005B724B"/>
    <w:rsid w:val="005B7858"/>
    <w:rsid w:val="005C0190"/>
    <w:rsid w:val="005C06E7"/>
    <w:rsid w:val="005C0AD3"/>
    <w:rsid w:val="005C0DA8"/>
    <w:rsid w:val="005C136E"/>
    <w:rsid w:val="005C1498"/>
    <w:rsid w:val="005C168F"/>
    <w:rsid w:val="005C1D74"/>
    <w:rsid w:val="005C1FA3"/>
    <w:rsid w:val="005C2637"/>
    <w:rsid w:val="005C3781"/>
    <w:rsid w:val="005C3E17"/>
    <w:rsid w:val="005C43B8"/>
    <w:rsid w:val="005C445D"/>
    <w:rsid w:val="005C5167"/>
    <w:rsid w:val="005C554B"/>
    <w:rsid w:val="005C5B5C"/>
    <w:rsid w:val="005C5C1B"/>
    <w:rsid w:val="005C66EF"/>
    <w:rsid w:val="005C74FB"/>
    <w:rsid w:val="005C75A3"/>
    <w:rsid w:val="005C7E1F"/>
    <w:rsid w:val="005D02A4"/>
    <w:rsid w:val="005D087B"/>
    <w:rsid w:val="005D0D9D"/>
    <w:rsid w:val="005D130F"/>
    <w:rsid w:val="005D1602"/>
    <w:rsid w:val="005D1960"/>
    <w:rsid w:val="005D1F1F"/>
    <w:rsid w:val="005D1FA5"/>
    <w:rsid w:val="005D2361"/>
    <w:rsid w:val="005D2628"/>
    <w:rsid w:val="005D2701"/>
    <w:rsid w:val="005D29ED"/>
    <w:rsid w:val="005D3100"/>
    <w:rsid w:val="005D436C"/>
    <w:rsid w:val="005D43BF"/>
    <w:rsid w:val="005D48A8"/>
    <w:rsid w:val="005D5A46"/>
    <w:rsid w:val="005D5D34"/>
    <w:rsid w:val="005D5E26"/>
    <w:rsid w:val="005D5ECB"/>
    <w:rsid w:val="005D61C1"/>
    <w:rsid w:val="005D6816"/>
    <w:rsid w:val="005D6859"/>
    <w:rsid w:val="005D6930"/>
    <w:rsid w:val="005D6EBB"/>
    <w:rsid w:val="005E070E"/>
    <w:rsid w:val="005E0757"/>
    <w:rsid w:val="005E122E"/>
    <w:rsid w:val="005E2AA6"/>
    <w:rsid w:val="005E2B62"/>
    <w:rsid w:val="005E2BCB"/>
    <w:rsid w:val="005E3082"/>
    <w:rsid w:val="005E31F9"/>
    <w:rsid w:val="005E32A9"/>
    <w:rsid w:val="005E3800"/>
    <w:rsid w:val="005E385F"/>
    <w:rsid w:val="005E3936"/>
    <w:rsid w:val="005E3DC1"/>
    <w:rsid w:val="005E3FBD"/>
    <w:rsid w:val="005E453C"/>
    <w:rsid w:val="005E4704"/>
    <w:rsid w:val="005E4DAD"/>
    <w:rsid w:val="005E4F5B"/>
    <w:rsid w:val="005E54A2"/>
    <w:rsid w:val="005E562E"/>
    <w:rsid w:val="005E5B81"/>
    <w:rsid w:val="005E6447"/>
    <w:rsid w:val="005E6952"/>
    <w:rsid w:val="005E739E"/>
    <w:rsid w:val="005E7416"/>
    <w:rsid w:val="005E7765"/>
    <w:rsid w:val="005E79D1"/>
    <w:rsid w:val="005E7A0A"/>
    <w:rsid w:val="005E7E90"/>
    <w:rsid w:val="005E7F3C"/>
    <w:rsid w:val="005F0247"/>
    <w:rsid w:val="005F035C"/>
    <w:rsid w:val="005F04A2"/>
    <w:rsid w:val="005F0C58"/>
    <w:rsid w:val="005F15DE"/>
    <w:rsid w:val="005F1916"/>
    <w:rsid w:val="005F1EFF"/>
    <w:rsid w:val="005F2179"/>
    <w:rsid w:val="005F2831"/>
    <w:rsid w:val="005F2CB1"/>
    <w:rsid w:val="005F3025"/>
    <w:rsid w:val="005F3276"/>
    <w:rsid w:val="005F3329"/>
    <w:rsid w:val="005F362D"/>
    <w:rsid w:val="005F38E0"/>
    <w:rsid w:val="005F3975"/>
    <w:rsid w:val="005F45D6"/>
    <w:rsid w:val="005F4A39"/>
    <w:rsid w:val="005F4FA9"/>
    <w:rsid w:val="005F58AA"/>
    <w:rsid w:val="005F59D0"/>
    <w:rsid w:val="005F618C"/>
    <w:rsid w:val="005F64E8"/>
    <w:rsid w:val="005F70BD"/>
    <w:rsid w:val="005F7998"/>
    <w:rsid w:val="0060024C"/>
    <w:rsid w:val="006009CC"/>
    <w:rsid w:val="006011E2"/>
    <w:rsid w:val="00601232"/>
    <w:rsid w:val="00601DC5"/>
    <w:rsid w:val="0060283C"/>
    <w:rsid w:val="0060339D"/>
    <w:rsid w:val="006035E1"/>
    <w:rsid w:val="006036D3"/>
    <w:rsid w:val="00603764"/>
    <w:rsid w:val="006044A6"/>
    <w:rsid w:val="00604634"/>
    <w:rsid w:val="00604F14"/>
    <w:rsid w:val="00605325"/>
    <w:rsid w:val="0060580E"/>
    <w:rsid w:val="00605D16"/>
    <w:rsid w:val="006067E9"/>
    <w:rsid w:val="00606EBF"/>
    <w:rsid w:val="00607E51"/>
    <w:rsid w:val="00611652"/>
    <w:rsid w:val="00611B83"/>
    <w:rsid w:val="006120F3"/>
    <w:rsid w:val="00612B9C"/>
    <w:rsid w:val="00613257"/>
    <w:rsid w:val="00613D93"/>
    <w:rsid w:val="006143A6"/>
    <w:rsid w:val="006144A4"/>
    <w:rsid w:val="0061470E"/>
    <w:rsid w:val="006151EA"/>
    <w:rsid w:val="00615975"/>
    <w:rsid w:val="00616245"/>
    <w:rsid w:val="0061645F"/>
    <w:rsid w:val="006167FD"/>
    <w:rsid w:val="0061750F"/>
    <w:rsid w:val="00617B7D"/>
    <w:rsid w:val="0062019B"/>
    <w:rsid w:val="006203BD"/>
    <w:rsid w:val="00620637"/>
    <w:rsid w:val="0062067E"/>
    <w:rsid w:val="00620A71"/>
    <w:rsid w:val="00620D7C"/>
    <w:rsid w:val="00620D80"/>
    <w:rsid w:val="00621EC3"/>
    <w:rsid w:val="00621F2C"/>
    <w:rsid w:val="00622BC3"/>
    <w:rsid w:val="00622E86"/>
    <w:rsid w:val="006230B4"/>
    <w:rsid w:val="0062324C"/>
    <w:rsid w:val="00623452"/>
    <w:rsid w:val="006234A6"/>
    <w:rsid w:val="006237B8"/>
    <w:rsid w:val="006239B6"/>
    <w:rsid w:val="006239F2"/>
    <w:rsid w:val="00623A52"/>
    <w:rsid w:val="00624167"/>
    <w:rsid w:val="00624311"/>
    <w:rsid w:val="0062448E"/>
    <w:rsid w:val="00624C63"/>
    <w:rsid w:val="00625E36"/>
    <w:rsid w:val="00626820"/>
    <w:rsid w:val="00626C65"/>
    <w:rsid w:val="00626DD0"/>
    <w:rsid w:val="006270D7"/>
    <w:rsid w:val="00627643"/>
    <w:rsid w:val="00630001"/>
    <w:rsid w:val="0063004D"/>
    <w:rsid w:val="0063115E"/>
    <w:rsid w:val="006311B3"/>
    <w:rsid w:val="00631D20"/>
    <w:rsid w:val="006325F9"/>
    <w:rsid w:val="0063284C"/>
    <w:rsid w:val="0063287F"/>
    <w:rsid w:val="00632994"/>
    <w:rsid w:val="00632CF6"/>
    <w:rsid w:val="006331B2"/>
    <w:rsid w:val="006332C2"/>
    <w:rsid w:val="00633722"/>
    <w:rsid w:val="006337BA"/>
    <w:rsid w:val="00634188"/>
    <w:rsid w:val="006343D1"/>
    <w:rsid w:val="00634D52"/>
    <w:rsid w:val="006350DC"/>
    <w:rsid w:val="006351DE"/>
    <w:rsid w:val="006357C5"/>
    <w:rsid w:val="006358DF"/>
    <w:rsid w:val="00635A69"/>
    <w:rsid w:val="00635D26"/>
    <w:rsid w:val="00636398"/>
    <w:rsid w:val="006368D3"/>
    <w:rsid w:val="006377EC"/>
    <w:rsid w:val="00637B31"/>
    <w:rsid w:val="00640264"/>
    <w:rsid w:val="006414A3"/>
    <w:rsid w:val="0064151F"/>
    <w:rsid w:val="00641533"/>
    <w:rsid w:val="006418E3"/>
    <w:rsid w:val="00641AAB"/>
    <w:rsid w:val="0064208D"/>
    <w:rsid w:val="006426A8"/>
    <w:rsid w:val="0064276E"/>
    <w:rsid w:val="00642942"/>
    <w:rsid w:val="00642A17"/>
    <w:rsid w:val="00642DE9"/>
    <w:rsid w:val="00642F7B"/>
    <w:rsid w:val="00642FB7"/>
    <w:rsid w:val="006432F0"/>
    <w:rsid w:val="00643475"/>
    <w:rsid w:val="00643533"/>
    <w:rsid w:val="006437D2"/>
    <w:rsid w:val="0064396A"/>
    <w:rsid w:val="0064415F"/>
    <w:rsid w:val="006442C9"/>
    <w:rsid w:val="00644389"/>
    <w:rsid w:val="00644431"/>
    <w:rsid w:val="006447F5"/>
    <w:rsid w:val="0064489B"/>
    <w:rsid w:val="00644A64"/>
    <w:rsid w:val="00644CF6"/>
    <w:rsid w:val="00644D4E"/>
    <w:rsid w:val="00644E2E"/>
    <w:rsid w:val="00644E7B"/>
    <w:rsid w:val="00644F4A"/>
    <w:rsid w:val="006450D7"/>
    <w:rsid w:val="006456EB"/>
    <w:rsid w:val="00645988"/>
    <w:rsid w:val="0064624E"/>
    <w:rsid w:val="006467FB"/>
    <w:rsid w:val="00646CC4"/>
    <w:rsid w:val="0064714C"/>
    <w:rsid w:val="00647354"/>
    <w:rsid w:val="0064762F"/>
    <w:rsid w:val="00647C1D"/>
    <w:rsid w:val="00647C65"/>
    <w:rsid w:val="00647E24"/>
    <w:rsid w:val="006501F7"/>
    <w:rsid w:val="00650AB9"/>
    <w:rsid w:val="00650F3F"/>
    <w:rsid w:val="00651175"/>
    <w:rsid w:val="006517A9"/>
    <w:rsid w:val="00651D20"/>
    <w:rsid w:val="00652112"/>
    <w:rsid w:val="006527C0"/>
    <w:rsid w:val="006528CE"/>
    <w:rsid w:val="00653159"/>
    <w:rsid w:val="0065326F"/>
    <w:rsid w:val="0065335A"/>
    <w:rsid w:val="00653A26"/>
    <w:rsid w:val="00653C92"/>
    <w:rsid w:val="00653E56"/>
    <w:rsid w:val="0065417D"/>
    <w:rsid w:val="006543C0"/>
    <w:rsid w:val="00654A3C"/>
    <w:rsid w:val="00654DB6"/>
    <w:rsid w:val="00654FCD"/>
    <w:rsid w:val="006553EE"/>
    <w:rsid w:val="00655733"/>
    <w:rsid w:val="00655ACD"/>
    <w:rsid w:val="00655B0A"/>
    <w:rsid w:val="00655D64"/>
    <w:rsid w:val="00656300"/>
    <w:rsid w:val="00656511"/>
    <w:rsid w:val="00656A57"/>
    <w:rsid w:val="00656A92"/>
    <w:rsid w:val="00656D8A"/>
    <w:rsid w:val="00656DDE"/>
    <w:rsid w:val="00657D19"/>
    <w:rsid w:val="00657E7E"/>
    <w:rsid w:val="0066011D"/>
    <w:rsid w:val="00660327"/>
    <w:rsid w:val="006607C0"/>
    <w:rsid w:val="006613A6"/>
    <w:rsid w:val="006618D4"/>
    <w:rsid w:val="0066204B"/>
    <w:rsid w:val="006627A2"/>
    <w:rsid w:val="006634E6"/>
    <w:rsid w:val="006635F8"/>
    <w:rsid w:val="006641D5"/>
    <w:rsid w:val="006644FF"/>
    <w:rsid w:val="0066495A"/>
    <w:rsid w:val="00664FC0"/>
    <w:rsid w:val="006655EE"/>
    <w:rsid w:val="00665795"/>
    <w:rsid w:val="00665A36"/>
    <w:rsid w:val="00665DB6"/>
    <w:rsid w:val="0066616C"/>
    <w:rsid w:val="0066754E"/>
    <w:rsid w:val="00667EE7"/>
    <w:rsid w:val="006701C6"/>
    <w:rsid w:val="00670922"/>
    <w:rsid w:val="00670BE1"/>
    <w:rsid w:val="006716CD"/>
    <w:rsid w:val="0067174B"/>
    <w:rsid w:val="00671918"/>
    <w:rsid w:val="00671D06"/>
    <w:rsid w:val="0067218F"/>
    <w:rsid w:val="006722F1"/>
    <w:rsid w:val="006729C9"/>
    <w:rsid w:val="0067300E"/>
    <w:rsid w:val="00673BC9"/>
    <w:rsid w:val="00673D9E"/>
    <w:rsid w:val="006741F2"/>
    <w:rsid w:val="006749E5"/>
    <w:rsid w:val="00674CC3"/>
    <w:rsid w:val="00674D69"/>
    <w:rsid w:val="0067529C"/>
    <w:rsid w:val="006753AB"/>
    <w:rsid w:val="0067595D"/>
    <w:rsid w:val="00675C72"/>
    <w:rsid w:val="00675C7E"/>
    <w:rsid w:val="00675D8A"/>
    <w:rsid w:val="00676021"/>
    <w:rsid w:val="0067627F"/>
    <w:rsid w:val="00677103"/>
    <w:rsid w:val="006771F9"/>
    <w:rsid w:val="00677303"/>
    <w:rsid w:val="00677340"/>
    <w:rsid w:val="006776D7"/>
    <w:rsid w:val="006779D5"/>
    <w:rsid w:val="00677E08"/>
    <w:rsid w:val="006804CE"/>
    <w:rsid w:val="00680765"/>
    <w:rsid w:val="00680CAE"/>
    <w:rsid w:val="00681003"/>
    <w:rsid w:val="0068151C"/>
    <w:rsid w:val="00681760"/>
    <w:rsid w:val="006817C9"/>
    <w:rsid w:val="00681934"/>
    <w:rsid w:val="00681ECE"/>
    <w:rsid w:val="00682379"/>
    <w:rsid w:val="0068350E"/>
    <w:rsid w:val="0068383B"/>
    <w:rsid w:val="00683ECE"/>
    <w:rsid w:val="00684AE9"/>
    <w:rsid w:val="00685458"/>
    <w:rsid w:val="006854D4"/>
    <w:rsid w:val="00686952"/>
    <w:rsid w:val="00686BA8"/>
    <w:rsid w:val="00686D31"/>
    <w:rsid w:val="006870CE"/>
    <w:rsid w:val="006871C4"/>
    <w:rsid w:val="00687256"/>
    <w:rsid w:val="0068733E"/>
    <w:rsid w:val="006873AD"/>
    <w:rsid w:val="0068749E"/>
    <w:rsid w:val="00687668"/>
    <w:rsid w:val="00687B09"/>
    <w:rsid w:val="00687B16"/>
    <w:rsid w:val="00687E99"/>
    <w:rsid w:val="0069076A"/>
    <w:rsid w:val="0069093F"/>
    <w:rsid w:val="00690E3F"/>
    <w:rsid w:val="006916F0"/>
    <w:rsid w:val="00692A2D"/>
    <w:rsid w:val="00693460"/>
    <w:rsid w:val="0069349C"/>
    <w:rsid w:val="00693BE3"/>
    <w:rsid w:val="006941FF"/>
    <w:rsid w:val="0069472A"/>
    <w:rsid w:val="0069510B"/>
    <w:rsid w:val="00695A56"/>
    <w:rsid w:val="00695C52"/>
    <w:rsid w:val="00695FC2"/>
    <w:rsid w:val="006960E6"/>
    <w:rsid w:val="0069658B"/>
    <w:rsid w:val="00696949"/>
    <w:rsid w:val="00696F9E"/>
    <w:rsid w:val="00697052"/>
    <w:rsid w:val="006971E7"/>
    <w:rsid w:val="00697554"/>
    <w:rsid w:val="00697887"/>
    <w:rsid w:val="006A004C"/>
    <w:rsid w:val="006A058D"/>
    <w:rsid w:val="006A0727"/>
    <w:rsid w:val="006A07E6"/>
    <w:rsid w:val="006A0C59"/>
    <w:rsid w:val="006A0E56"/>
    <w:rsid w:val="006A16E4"/>
    <w:rsid w:val="006A1A24"/>
    <w:rsid w:val="006A1A8D"/>
    <w:rsid w:val="006A1B43"/>
    <w:rsid w:val="006A1D03"/>
    <w:rsid w:val="006A246D"/>
    <w:rsid w:val="006A2E3C"/>
    <w:rsid w:val="006A389A"/>
    <w:rsid w:val="006A38C6"/>
    <w:rsid w:val="006A3AB5"/>
    <w:rsid w:val="006A3FF0"/>
    <w:rsid w:val="006A41C8"/>
    <w:rsid w:val="006A41DB"/>
    <w:rsid w:val="006A420F"/>
    <w:rsid w:val="006A46FB"/>
    <w:rsid w:val="006A4772"/>
    <w:rsid w:val="006A544C"/>
    <w:rsid w:val="006A5DED"/>
    <w:rsid w:val="006A5E28"/>
    <w:rsid w:val="006A5F51"/>
    <w:rsid w:val="006A6909"/>
    <w:rsid w:val="006A697B"/>
    <w:rsid w:val="006A6B12"/>
    <w:rsid w:val="006A6C59"/>
    <w:rsid w:val="006A72F6"/>
    <w:rsid w:val="006A7AFF"/>
    <w:rsid w:val="006B0250"/>
    <w:rsid w:val="006B0268"/>
    <w:rsid w:val="006B0293"/>
    <w:rsid w:val="006B06BC"/>
    <w:rsid w:val="006B1191"/>
    <w:rsid w:val="006B1399"/>
    <w:rsid w:val="006B1816"/>
    <w:rsid w:val="006B1DBA"/>
    <w:rsid w:val="006B1FCB"/>
    <w:rsid w:val="006B2099"/>
    <w:rsid w:val="006B3206"/>
    <w:rsid w:val="006B3450"/>
    <w:rsid w:val="006B3495"/>
    <w:rsid w:val="006B353A"/>
    <w:rsid w:val="006B3C44"/>
    <w:rsid w:val="006B4082"/>
    <w:rsid w:val="006B48E3"/>
    <w:rsid w:val="006B4EB1"/>
    <w:rsid w:val="006B50CF"/>
    <w:rsid w:val="006B5513"/>
    <w:rsid w:val="006B5CC3"/>
    <w:rsid w:val="006B5D24"/>
    <w:rsid w:val="006B629D"/>
    <w:rsid w:val="006B73B3"/>
    <w:rsid w:val="006B784A"/>
    <w:rsid w:val="006B7DAE"/>
    <w:rsid w:val="006C019B"/>
    <w:rsid w:val="006C03B8"/>
    <w:rsid w:val="006C152F"/>
    <w:rsid w:val="006C1DA3"/>
    <w:rsid w:val="006C25BD"/>
    <w:rsid w:val="006C26BB"/>
    <w:rsid w:val="006C27FA"/>
    <w:rsid w:val="006C2CDD"/>
    <w:rsid w:val="006C38ED"/>
    <w:rsid w:val="006C3B08"/>
    <w:rsid w:val="006C3C7C"/>
    <w:rsid w:val="006C3CBA"/>
    <w:rsid w:val="006C4664"/>
    <w:rsid w:val="006C4790"/>
    <w:rsid w:val="006C5136"/>
    <w:rsid w:val="006C51BB"/>
    <w:rsid w:val="006C5543"/>
    <w:rsid w:val="006C55D4"/>
    <w:rsid w:val="006C5C07"/>
    <w:rsid w:val="006C5EC9"/>
    <w:rsid w:val="006C6059"/>
    <w:rsid w:val="006C6C3E"/>
    <w:rsid w:val="006C6E56"/>
    <w:rsid w:val="006C70A0"/>
    <w:rsid w:val="006C7283"/>
    <w:rsid w:val="006C74BE"/>
    <w:rsid w:val="006C7522"/>
    <w:rsid w:val="006C76ED"/>
    <w:rsid w:val="006D0461"/>
    <w:rsid w:val="006D1612"/>
    <w:rsid w:val="006D1911"/>
    <w:rsid w:val="006D28E0"/>
    <w:rsid w:val="006D2AA8"/>
    <w:rsid w:val="006D2C9D"/>
    <w:rsid w:val="006D312D"/>
    <w:rsid w:val="006D330D"/>
    <w:rsid w:val="006D36C9"/>
    <w:rsid w:val="006D405B"/>
    <w:rsid w:val="006D40FA"/>
    <w:rsid w:val="006D4423"/>
    <w:rsid w:val="006D4AB2"/>
    <w:rsid w:val="006D4CA2"/>
    <w:rsid w:val="006D4ECA"/>
    <w:rsid w:val="006D5325"/>
    <w:rsid w:val="006D5542"/>
    <w:rsid w:val="006D5F88"/>
    <w:rsid w:val="006D6CBD"/>
    <w:rsid w:val="006D6F08"/>
    <w:rsid w:val="006D70F7"/>
    <w:rsid w:val="006D7E87"/>
    <w:rsid w:val="006E03F3"/>
    <w:rsid w:val="006E0419"/>
    <w:rsid w:val="006E062C"/>
    <w:rsid w:val="006E0A1D"/>
    <w:rsid w:val="006E1084"/>
    <w:rsid w:val="006E11F8"/>
    <w:rsid w:val="006E13BF"/>
    <w:rsid w:val="006E1997"/>
    <w:rsid w:val="006E1C82"/>
    <w:rsid w:val="006E28B7"/>
    <w:rsid w:val="006E2A9B"/>
    <w:rsid w:val="006E2DE7"/>
    <w:rsid w:val="006E303A"/>
    <w:rsid w:val="006E3310"/>
    <w:rsid w:val="006E36CF"/>
    <w:rsid w:val="006E3BBF"/>
    <w:rsid w:val="006E3C00"/>
    <w:rsid w:val="006E4E39"/>
    <w:rsid w:val="006E519D"/>
    <w:rsid w:val="006E565E"/>
    <w:rsid w:val="006E6602"/>
    <w:rsid w:val="006E673D"/>
    <w:rsid w:val="006E6976"/>
    <w:rsid w:val="006E6DCB"/>
    <w:rsid w:val="006E6F7A"/>
    <w:rsid w:val="006E700B"/>
    <w:rsid w:val="006E70E8"/>
    <w:rsid w:val="006E714F"/>
    <w:rsid w:val="006E7788"/>
    <w:rsid w:val="006E7D3B"/>
    <w:rsid w:val="006F0051"/>
    <w:rsid w:val="006F05C2"/>
    <w:rsid w:val="006F05E7"/>
    <w:rsid w:val="006F19FA"/>
    <w:rsid w:val="006F1B70"/>
    <w:rsid w:val="006F26F9"/>
    <w:rsid w:val="006F2B71"/>
    <w:rsid w:val="006F2D6E"/>
    <w:rsid w:val="006F2E70"/>
    <w:rsid w:val="006F2E97"/>
    <w:rsid w:val="006F31EE"/>
    <w:rsid w:val="006F341D"/>
    <w:rsid w:val="006F3CDE"/>
    <w:rsid w:val="006F3DDD"/>
    <w:rsid w:val="006F3F61"/>
    <w:rsid w:val="006F481F"/>
    <w:rsid w:val="006F4836"/>
    <w:rsid w:val="006F4B05"/>
    <w:rsid w:val="006F4DA0"/>
    <w:rsid w:val="006F4DF3"/>
    <w:rsid w:val="006F540F"/>
    <w:rsid w:val="006F562D"/>
    <w:rsid w:val="006F5682"/>
    <w:rsid w:val="006F581C"/>
    <w:rsid w:val="006F58D4"/>
    <w:rsid w:val="006F642E"/>
    <w:rsid w:val="006F6582"/>
    <w:rsid w:val="006F65E9"/>
    <w:rsid w:val="006F669D"/>
    <w:rsid w:val="006F66B9"/>
    <w:rsid w:val="006F69D2"/>
    <w:rsid w:val="006F71EC"/>
    <w:rsid w:val="006F777E"/>
    <w:rsid w:val="006F7FAD"/>
    <w:rsid w:val="00700D1A"/>
    <w:rsid w:val="0070141C"/>
    <w:rsid w:val="00701F56"/>
    <w:rsid w:val="007021F9"/>
    <w:rsid w:val="0070248E"/>
    <w:rsid w:val="007026D7"/>
    <w:rsid w:val="007027C7"/>
    <w:rsid w:val="00703387"/>
    <w:rsid w:val="0070346E"/>
    <w:rsid w:val="00703787"/>
    <w:rsid w:val="007038DE"/>
    <w:rsid w:val="007040AD"/>
    <w:rsid w:val="00704EB5"/>
    <w:rsid w:val="00704EBF"/>
    <w:rsid w:val="00704EDB"/>
    <w:rsid w:val="0070519C"/>
    <w:rsid w:val="00705F5F"/>
    <w:rsid w:val="00706101"/>
    <w:rsid w:val="0070672C"/>
    <w:rsid w:val="00707072"/>
    <w:rsid w:val="0070793A"/>
    <w:rsid w:val="00707D61"/>
    <w:rsid w:val="00707E48"/>
    <w:rsid w:val="0071008B"/>
    <w:rsid w:val="00710384"/>
    <w:rsid w:val="007105D1"/>
    <w:rsid w:val="007108F2"/>
    <w:rsid w:val="007112FA"/>
    <w:rsid w:val="00711AB3"/>
    <w:rsid w:val="00712287"/>
    <w:rsid w:val="007122A1"/>
    <w:rsid w:val="00712514"/>
    <w:rsid w:val="00712772"/>
    <w:rsid w:val="007129C4"/>
    <w:rsid w:val="00712BE3"/>
    <w:rsid w:val="0071453E"/>
    <w:rsid w:val="007148D3"/>
    <w:rsid w:val="00714E61"/>
    <w:rsid w:val="0071502E"/>
    <w:rsid w:val="00715413"/>
    <w:rsid w:val="00715604"/>
    <w:rsid w:val="007159B4"/>
    <w:rsid w:val="00715ADA"/>
    <w:rsid w:val="00715B3E"/>
    <w:rsid w:val="00715B9A"/>
    <w:rsid w:val="00715D65"/>
    <w:rsid w:val="00716281"/>
    <w:rsid w:val="007162A2"/>
    <w:rsid w:val="00716C69"/>
    <w:rsid w:val="007173B4"/>
    <w:rsid w:val="007174E3"/>
    <w:rsid w:val="00717C04"/>
    <w:rsid w:val="00717FB4"/>
    <w:rsid w:val="00720603"/>
    <w:rsid w:val="0072092B"/>
    <w:rsid w:val="00721674"/>
    <w:rsid w:val="00721680"/>
    <w:rsid w:val="00721F64"/>
    <w:rsid w:val="00722E78"/>
    <w:rsid w:val="00723568"/>
    <w:rsid w:val="00723708"/>
    <w:rsid w:val="0072413D"/>
    <w:rsid w:val="007244EA"/>
    <w:rsid w:val="00724A5E"/>
    <w:rsid w:val="007257D0"/>
    <w:rsid w:val="00725D6F"/>
    <w:rsid w:val="00725EC8"/>
    <w:rsid w:val="007261F6"/>
    <w:rsid w:val="007262BF"/>
    <w:rsid w:val="00726E20"/>
    <w:rsid w:val="00726EA6"/>
    <w:rsid w:val="00727208"/>
    <w:rsid w:val="007272D9"/>
    <w:rsid w:val="00727680"/>
    <w:rsid w:val="00727BB2"/>
    <w:rsid w:val="00727BDA"/>
    <w:rsid w:val="00730D24"/>
    <w:rsid w:val="007312EC"/>
    <w:rsid w:val="0073208D"/>
    <w:rsid w:val="007321A5"/>
    <w:rsid w:val="00732809"/>
    <w:rsid w:val="0073303B"/>
    <w:rsid w:val="00733865"/>
    <w:rsid w:val="00733994"/>
    <w:rsid w:val="00733C8D"/>
    <w:rsid w:val="00733E35"/>
    <w:rsid w:val="0073468A"/>
    <w:rsid w:val="007348B1"/>
    <w:rsid w:val="007349DC"/>
    <w:rsid w:val="00734E79"/>
    <w:rsid w:val="00734FB3"/>
    <w:rsid w:val="00735339"/>
    <w:rsid w:val="0073554F"/>
    <w:rsid w:val="00735807"/>
    <w:rsid w:val="0073599C"/>
    <w:rsid w:val="00735E6D"/>
    <w:rsid w:val="0073618B"/>
    <w:rsid w:val="007362A6"/>
    <w:rsid w:val="007366EF"/>
    <w:rsid w:val="00736D7D"/>
    <w:rsid w:val="00740036"/>
    <w:rsid w:val="00740069"/>
    <w:rsid w:val="00740D75"/>
    <w:rsid w:val="00740E58"/>
    <w:rsid w:val="00741273"/>
    <w:rsid w:val="0074182E"/>
    <w:rsid w:val="00741C0B"/>
    <w:rsid w:val="00741FF0"/>
    <w:rsid w:val="00742967"/>
    <w:rsid w:val="0074313E"/>
    <w:rsid w:val="00743D66"/>
    <w:rsid w:val="00743E39"/>
    <w:rsid w:val="007445A0"/>
    <w:rsid w:val="00744F88"/>
    <w:rsid w:val="00745159"/>
    <w:rsid w:val="0074524B"/>
    <w:rsid w:val="00745728"/>
    <w:rsid w:val="00745C78"/>
    <w:rsid w:val="00745DD1"/>
    <w:rsid w:val="00745EE1"/>
    <w:rsid w:val="00747014"/>
    <w:rsid w:val="00747815"/>
    <w:rsid w:val="007478F0"/>
    <w:rsid w:val="0074798D"/>
    <w:rsid w:val="00747CF2"/>
    <w:rsid w:val="00747D8B"/>
    <w:rsid w:val="00750085"/>
    <w:rsid w:val="00750431"/>
    <w:rsid w:val="00750830"/>
    <w:rsid w:val="007510B3"/>
    <w:rsid w:val="007510B9"/>
    <w:rsid w:val="00751228"/>
    <w:rsid w:val="00751DEE"/>
    <w:rsid w:val="007521A6"/>
    <w:rsid w:val="00752B27"/>
    <w:rsid w:val="00752D77"/>
    <w:rsid w:val="00753D13"/>
    <w:rsid w:val="00754728"/>
    <w:rsid w:val="00754E31"/>
    <w:rsid w:val="00755408"/>
    <w:rsid w:val="00755420"/>
    <w:rsid w:val="0075561D"/>
    <w:rsid w:val="00755DA8"/>
    <w:rsid w:val="00756815"/>
    <w:rsid w:val="00756DE7"/>
    <w:rsid w:val="007571B5"/>
    <w:rsid w:val="007571E1"/>
    <w:rsid w:val="00757A16"/>
    <w:rsid w:val="00757CD7"/>
    <w:rsid w:val="00757D85"/>
    <w:rsid w:val="007604B2"/>
    <w:rsid w:val="00760D6F"/>
    <w:rsid w:val="0076109D"/>
    <w:rsid w:val="007621A7"/>
    <w:rsid w:val="007626EF"/>
    <w:rsid w:val="00762AD3"/>
    <w:rsid w:val="00763C84"/>
    <w:rsid w:val="0076419E"/>
    <w:rsid w:val="00764209"/>
    <w:rsid w:val="00764A41"/>
    <w:rsid w:val="00764D9D"/>
    <w:rsid w:val="00764DB4"/>
    <w:rsid w:val="00764DFB"/>
    <w:rsid w:val="00765154"/>
    <w:rsid w:val="00765271"/>
    <w:rsid w:val="00765281"/>
    <w:rsid w:val="0076535E"/>
    <w:rsid w:val="00765AE1"/>
    <w:rsid w:val="00765CD6"/>
    <w:rsid w:val="00766242"/>
    <w:rsid w:val="00766A0F"/>
    <w:rsid w:val="00766BAD"/>
    <w:rsid w:val="0076798A"/>
    <w:rsid w:val="007679EA"/>
    <w:rsid w:val="00767AC6"/>
    <w:rsid w:val="00767D9F"/>
    <w:rsid w:val="00770659"/>
    <w:rsid w:val="0077212A"/>
    <w:rsid w:val="0077224D"/>
    <w:rsid w:val="00772265"/>
    <w:rsid w:val="007726B1"/>
    <w:rsid w:val="007729A2"/>
    <w:rsid w:val="007732E3"/>
    <w:rsid w:val="00773494"/>
    <w:rsid w:val="007734B2"/>
    <w:rsid w:val="007738E0"/>
    <w:rsid w:val="00773A2C"/>
    <w:rsid w:val="00774632"/>
    <w:rsid w:val="007748FA"/>
    <w:rsid w:val="00774E12"/>
    <w:rsid w:val="007755F2"/>
    <w:rsid w:val="00775CCB"/>
    <w:rsid w:val="00775DE9"/>
    <w:rsid w:val="00775F4F"/>
    <w:rsid w:val="00776971"/>
    <w:rsid w:val="0077714F"/>
    <w:rsid w:val="00777405"/>
    <w:rsid w:val="007779AF"/>
    <w:rsid w:val="00777D07"/>
    <w:rsid w:val="00780A80"/>
    <w:rsid w:val="00780B5A"/>
    <w:rsid w:val="0078177E"/>
    <w:rsid w:val="00781C80"/>
    <w:rsid w:val="00782609"/>
    <w:rsid w:val="00782B0E"/>
    <w:rsid w:val="00782B88"/>
    <w:rsid w:val="00782F0A"/>
    <w:rsid w:val="0078304C"/>
    <w:rsid w:val="0078352C"/>
    <w:rsid w:val="0078366B"/>
    <w:rsid w:val="00783673"/>
    <w:rsid w:val="0078442F"/>
    <w:rsid w:val="00784714"/>
    <w:rsid w:val="007849B3"/>
    <w:rsid w:val="00784CF1"/>
    <w:rsid w:val="00785238"/>
    <w:rsid w:val="00785490"/>
    <w:rsid w:val="007855E8"/>
    <w:rsid w:val="007857E9"/>
    <w:rsid w:val="00785B8A"/>
    <w:rsid w:val="00785FD3"/>
    <w:rsid w:val="00786022"/>
    <w:rsid w:val="00786A6A"/>
    <w:rsid w:val="00787161"/>
    <w:rsid w:val="007877FC"/>
    <w:rsid w:val="00787845"/>
    <w:rsid w:val="00790049"/>
    <w:rsid w:val="00790119"/>
    <w:rsid w:val="0079039A"/>
    <w:rsid w:val="007909FF"/>
    <w:rsid w:val="00791415"/>
    <w:rsid w:val="00791422"/>
    <w:rsid w:val="007915C1"/>
    <w:rsid w:val="0079167C"/>
    <w:rsid w:val="0079192E"/>
    <w:rsid w:val="00791DAC"/>
    <w:rsid w:val="007921E7"/>
    <w:rsid w:val="007925EA"/>
    <w:rsid w:val="007928C6"/>
    <w:rsid w:val="00792B69"/>
    <w:rsid w:val="007939C3"/>
    <w:rsid w:val="00793B66"/>
    <w:rsid w:val="00793C5B"/>
    <w:rsid w:val="00793CD8"/>
    <w:rsid w:val="00793D2C"/>
    <w:rsid w:val="00793D67"/>
    <w:rsid w:val="007944F3"/>
    <w:rsid w:val="00794607"/>
    <w:rsid w:val="007949F1"/>
    <w:rsid w:val="0079503B"/>
    <w:rsid w:val="007958A3"/>
    <w:rsid w:val="00795C92"/>
    <w:rsid w:val="0079602A"/>
    <w:rsid w:val="00796231"/>
    <w:rsid w:val="00796656"/>
    <w:rsid w:val="00796896"/>
    <w:rsid w:val="00796EEB"/>
    <w:rsid w:val="00797721"/>
    <w:rsid w:val="007977ED"/>
    <w:rsid w:val="00797D89"/>
    <w:rsid w:val="00797ECC"/>
    <w:rsid w:val="007A0B87"/>
    <w:rsid w:val="007A0F26"/>
    <w:rsid w:val="007A0F99"/>
    <w:rsid w:val="007A1B6D"/>
    <w:rsid w:val="007A1CB3"/>
    <w:rsid w:val="007A2B12"/>
    <w:rsid w:val="007A306F"/>
    <w:rsid w:val="007A316E"/>
    <w:rsid w:val="007A3172"/>
    <w:rsid w:val="007A3894"/>
    <w:rsid w:val="007A3EE6"/>
    <w:rsid w:val="007A3F2A"/>
    <w:rsid w:val="007A405A"/>
    <w:rsid w:val="007A43A6"/>
    <w:rsid w:val="007A5032"/>
    <w:rsid w:val="007A5531"/>
    <w:rsid w:val="007A58A6"/>
    <w:rsid w:val="007A5E39"/>
    <w:rsid w:val="007A5E93"/>
    <w:rsid w:val="007A6474"/>
    <w:rsid w:val="007A6643"/>
    <w:rsid w:val="007A67C2"/>
    <w:rsid w:val="007A7048"/>
    <w:rsid w:val="007A72CA"/>
    <w:rsid w:val="007A7690"/>
    <w:rsid w:val="007B0028"/>
    <w:rsid w:val="007B0831"/>
    <w:rsid w:val="007B0B27"/>
    <w:rsid w:val="007B0F8F"/>
    <w:rsid w:val="007B0FDB"/>
    <w:rsid w:val="007B192D"/>
    <w:rsid w:val="007B1DCA"/>
    <w:rsid w:val="007B2311"/>
    <w:rsid w:val="007B2C93"/>
    <w:rsid w:val="007B2CEF"/>
    <w:rsid w:val="007B2D08"/>
    <w:rsid w:val="007B3AD9"/>
    <w:rsid w:val="007B3D2D"/>
    <w:rsid w:val="007B3DBF"/>
    <w:rsid w:val="007B498B"/>
    <w:rsid w:val="007B4F63"/>
    <w:rsid w:val="007B50AE"/>
    <w:rsid w:val="007B51C3"/>
    <w:rsid w:val="007B51DF"/>
    <w:rsid w:val="007B55FA"/>
    <w:rsid w:val="007B5672"/>
    <w:rsid w:val="007B57D1"/>
    <w:rsid w:val="007B60B1"/>
    <w:rsid w:val="007B6413"/>
    <w:rsid w:val="007B6FD4"/>
    <w:rsid w:val="007B7211"/>
    <w:rsid w:val="007B7247"/>
    <w:rsid w:val="007B78FA"/>
    <w:rsid w:val="007C0076"/>
    <w:rsid w:val="007C05DD"/>
    <w:rsid w:val="007C0B9C"/>
    <w:rsid w:val="007C0F2F"/>
    <w:rsid w:val="007C1A58"/>
    <w:rsid w:val="007C33BB"/>
    <w:rsid w:val="007C33EC"/>
    <w:rsid w:val="007C3545"/>
    <w:rsid w:val="007C3D18"/>
    <w:rsid w:val="007C487E"/>
    <w:rsid w:val="007C50A4"/>
    <w:rsid w:val="007C51D4"/>
    <w:rsid w:val="007C531E"/>
    <w:rsid w:val="007C58D2"/>
    <w:rsid w:val="007C5F97"/>
    <w:rsid w:val="007C60BF"/>
    <w:rsid w:val="007C6A07"/>
    <w:rsid w:val="007C75A1"/>
    <w:rsid w:val="007C77A5"/>
    <w:rsid w:val="007C7A2B"/>
    <w:rsid w:val="007C7EFB"/>
    <w:rsid w:val="007D0338"/>
    <w:rsid w:val="007D04E5"/>
    <w:rsid w:val="007D112A"/>
    <w:rsid w:val="007D3294"/>
    <w:rsid w:val="007D3BEE"/>
    <w:rsid w:val="007D3CEF"/>
    <w:rsid w:val="007D40AF"/>
    <w:rsid w:val="007D469D"/>
    <w:rsid w:val="007D4720"/>
    <w:rsid w:val="007D491B"/>
    <w:rsid w:val="007D4F31"/>
    <w:rsid w:val="007D50F8"/>
    <w:rsid w:val="007D566A"/>
    <w:rsid w:val="007D5901"/>
    <w:rsid w:val="007D5F8E"/>
    <w:rsid w:val="007D626B"/>
    <w:rsid w:val="007D67DD"/>
    <w:rsid w:val="007D6D3B"/>
    <w:rsid w:val="007D6E16"/>
    <w:rsid w:val="007D7526"/>
    <w:rsid w:val="007D7E70"/>
    <w:rsid w:val="007E0133"/>
    <w:rsid w:val="007E0755"/>
    <w:rsid w:val="007E0806"/>
    <w:rsid w:val="007E0B25"/>
    <w:rsid w:val="007E0B60"/>
    <w:rsid w:val="007E0F65"/>
    <w:rsid w:val="007E1E2B"/>
    <w:rsid w:val="007E2965"/>
    <w:rsid w:val="007E2E2F"/>
    <w:rsid w:val="007E315E"/>
    <w:rsid w:val="007E32E3"/>
    <w:rsid w:val="007E3416"/>
    <w:rsid w:val="007E38FD"/>
    <w:rsid w:val="007E3C1D"/>
    <w:rsid w:val="007E3CD3"/>
    <w:rsid w:val="007E3E25"/>
    <w:rsid w:val="007E43A5"/>
    <w:rsid w:val="007E4610"/>
    <w:rsid w:val="007E4715"/>
    <w:rsid w:val="007E4BBB"/>
    <w:rsid w:val="007E4D9A"/>
    <w:rsid w:val="007E4EBB"/>
    <w:rsid w:val="007E505B"/>
    <w:rsid w:val="007E67A5"/>
    <w:rsid w:val="007E6E15"/>
    <w:rsid w:val="007E6EA2"/>
    <w:rsid w:val="007E7091"/>
    <w:rsid w:val="007E74C4"/>
    <w:rsid w:val="007E7566"/>
    <w:rsid w:val="007E7CD7"/>
    <w:rsid w:val="007E7E82"/>
    <w:rsid w:val="007F0AA4"/>
    <w:rsid w:val="007F134D"/>
    <w:rsid w:val="007F1420"/>
    <w:rsid w:val="007F193C"/>
    <w:rsid w:val="007F1CD1"/>
    <w:rsid w:val="007F2A31"/>
    <w:rsid w:val="007F2A74"/>
    <w:rsid w:val="007F2B7A"/>
    <w:rsid w:val="007F2FE4"/>
    <w:rsid w:val="007F36FF"/>
    <w:rsid w:val="007F3B69"/>
    <w:rsid w:val="007F417A"/>
    <w:rsid w:val="007F4E0A"/>
    <w:rsid w:val="007F50FA"/>
    <w:rsid w:val="007F5186"/>
    <w:rsid w:val="007F51E4"/>
    <w:rsid w:val="007F52ED"/>
    <w:rsid w:val="007F73FC"/>
    <w:rsid w:val="007F7541"/>
    <w:rsid w:val="007F76DB"/>
    <w:rsid w:val="007F7794"/>
    <w:rsid w:val="007F7FCB"/>
    <w:rsid w:val="008008B9"/>
    <w:rsid w:val="00801158"/>
    <w:rsid w:val="00802013"/>
    <w:rsid w:val="008022A2"/>
    <w:rsid w:val="00802478"/>
    <w:rsid w:val="008024F5"/>
    <w:rsid w:val="00802A0E"/>
    <w:rsid w:val="00802C24"/>
    <w:rsid w:val="00802C83"/>
    <w:rsid w:val="00803474"/>
    <w:rsid w:val="00803555"/>
    <w:rsid w:val="008035B7"/>
    <w:rsid w:val="00803D2A"/>
    <w:rsid w:val="00803FAE"/>
    <w:rsid w:val="008040DE"/>
    <w:rsid w:val="00804B8F"/>
    <w:rsid w:val="00804C94"/>
    <w:rsid w:val="00804EB4"/>
    <w:rsid w:val="008058DF"/>
    <w:rsid w:val="00805A8C"/>
    <w:rsid w:val="00805B08"/>
    <w:rsid w:val="00805B36"/>
    <w:rsid w:val="00805BDC"/>
    <w:rsid w:val="00805C4E"/>
    <w:rsid w:val="00805DA6"/>
    <w:rsid w:val="0080605F"/>
    <w:rsid w:val="008068EE"/>
    <w:rsid w:val="00806C9D"/>
    <w:rsid w:val="00807786"/>
    <w:rsid w:val="0080790C"/>
    <w:rsid w:val="008100DF"/>
    <w:rsid w:val="00810637"/>
    <w:rsid w:val="008106E7"/>
    <w:rsid w:val="0081094A"/>
    <w:rsid w:val="00811685"/>
    <w:rsid w:val="00811BB3"/>
    <w:rsid w:val="00811FCB"/>
    <w:rsid w:val="008123DA"/>
    <w:rsid w:val="00812654"/>
    <w:rsid w:val="008128BC"/>
    <w:rsid w:val="00812B69"/>
    <w:rsid w:val="00813403"/>
    <w:rsid w:val="00813DD1"/>
    <w:rsid w:val="00814CBA"/>
    <w:rsid w:val="00815010"/>
    <w:rsid w:val="008158D6"/>
    <w:rsid w:val="00816874"/>
    <w:rsid w:val="00816E4E"/>
    <w:rsid w:val="00816EBF"/>
    <w:rsid w:val="0081715A"/>
    <w:rsid w:val="00817196"/>
    <w:rsid w:val="00817B6F"/>
    <w:rsid w:val="00817C0D"/>
    <w:rsid w:val="00820061"/>
    <w:rsid w:val="008204A2"/>
    <w:rsid w:val="00820A35"/>
    <w:rsid w:val="00820A9A"/>
    <w:rsid w:val="00821048"/>
    <w:rsid w:val="00821283"/>
    <w:rsid w:val="008215D5"/>
    <w:rsid w:val="00821D74"/>
    <w:rsid w:val="0082218D"/>
    <w:rsid w:val="0082264F"/>
    <w:rsid w:val="00822DE1"/>
    <w:rsid w:val="008235DB"/>
    <w:rsid w:val="00823AFF"/>
    <w:rsid w:val="00823B48"/>
    <w:rsid w:val="00824115"/>
    <w:rsid w:val="00824AB4"/>
    <w:rsid w:val="00824D1E"/>
    <w:rsid w:val="008254A1"/>
    <w:rsid w:val="008259F4"/>
    <w:rsid w:val="00825BB8"/>
    <w:rsid w:val="00825C42"/>
    <w:rsid w:val="00825D25"/>
    <w:rsid w:val="00826344"/>
    <w:rsid w:val="00826AF6"/>
    <w:rsid w:val="0082721A"/>
    <w:rsid w:val="00827790"/>
    <w:rsid w:val="00827D6F"/>
    <w:rsid w:val="00827D8D"/>
    <w:rsid w:val="008301AA"/>
    <w:rsid w:val="008305CE"/>
    <w:rsid w:val="0083188B"/>
    <w:rsid w:val="00831FFE"/>
    <w:rsid w:val="00832C12"/>
    <w:rsid w:val="00832C89"/>
    <w:rsid w:val="00832E42"/>
    <w:rsid w:val="008338D4"/>
    <w:rsid w:val="00833A9F"/>
    <w:rsid w:val="00833B89"/>
    <w:rsid w:val="00833E22"/>
    <w:rsid w:val="00834B01"/>
    <w:rsid w:val="00834FBC"/>
    <w:rsid w:val="008351F2"/>
    <w:rsid w:val="00835237"/>
    <w:rsid w:val="00835BA2"/>
    <w:rsid w:val="00836012"/>
    <w:rsid w:val="00836373"/>
    <w:rsid w:val="0083655F"/>
    <w:rsid w:val="008376AC"/>
    <w:rsid w:val="00837A1C"/>
    <w:rsid w:val="0084006E"/>
    <w:rsid w:val="008406FD"/>
    <w:rsid w:val="00841350"/>
    <w:rsid w:val="0084154F"/>
    <w:rsid w:val="008417E0"/>
    <w:rsid w:val="00841E95"/>
    <w:rsid w:val="0084286D"/>
    <w:rsid w:val="0084380A"/>
    <w:rsid w:val="00843B59"/>
    <w:rsid w:val="00843F78"/>
    <w:rsid w:val="008444E8"/>
    <w:rsid w:val="00844BE3"/>
    <w:rsid w:val="00844DCA"/>
    <w:rsid w:val="00844E80"/>
    <w:rsid w:val="008450B1"/>
    <w:rsid w:val="0084512D"/>
    <w:rsid w:val="00845FF9"/>
    <w:rsid w:val="00846BA0"/>
    <w:rsid w:val="00846E65"/>
    <w:rsid w:val="00846FE7"/>
    <w:rsid w:val="008476C2"/>
    <w:rsid w:val="00847935"/>
    <w:rsid w:val="00847950"/>
    <w:rsid w:val="008479DB"/>
    <w:rsid w:val="00847E46"/>
    <w:rsid w:val="00847FDB"/>
    <w:rsid w:val="0085073D"/>
    <w:rsid w:val="00850CBC"/>
    <w:rsid w:val="0085115B"/>
    <w:rsid w:val="0085184E"/>
    <w:rsid w:val="0085199A"/>
    <w:rsid w:val="008524C5"/>
    <w:rsid w:val="008524FC"/>
    <w:rsid w:val="00853D24"/>
    <w:rsid w:val="00854416"/>
    <w:rsid w:val="00854D1A"/>
    <w:rsid w:val="00854E88"/>
    <w:rsid w:val="00856911"/>
    <w:rsid w:val="00857FB4"/>
    <w:rsid w:val="00860261"/>
    <w:rsid w:val="0086067C"/>
    <w:rsid w:val="0086073A"/>
    <w:rsid w:val="00860A19"/>
    <w:rsid w:val="00860E09"/>
    <w:rsid w:val="00861380"/>
    <w:rsid w:val="00862122"/>
    <w:rsid w:val="0086223C"/>
    <w:rsid w:val="008629F5"/>
    <w:rsid w:val="00862DE8"/>
    <w:rsid w:val="008633AA"/>
    <w:rsid w:val="00863658"/>
    <w:rsid w:val="00863B15"/>
    <w:rsid w:val="0086421C"/>
    <w:rsid w:val="0086441B"/>
    <w:rsid w:val="008645CD"/>
    <w:rsid w:val="00864DE6"/>
    <w:rsid w:val="00865D7A"/>
    <w:rsid w:val="00867159"/>
    <w:rsid w:val="00867737"/>
    <w:rsid w:val="008677FD"/>
    <w:rsid w:val="008679E5"/>
    <w:rsid w:val="00867E10"/>
    <w:rsid w:val="00870439"/>
    <w:rsid w:val="008706D4"/>
    <w:rsid w:val="00870F44"/>
    <w:rsid w:val="00870F8A"/>
    <w:rsid w:val="008719A4"/>
    <w:rsid w:val="00871D23"/>
    <w:rsid w:val="00871EB4"/>
    <w:rsid w:val="00871F54"/>
    <w:rsid w:val="00871F73"/>
    <w:rsid w:val="00872493"/>
    <w:rsid w:val="00873491"/>
    <w:rsid w:val="008740FC"/>
    <w:rsid w:val="00874312"/>
    <w:rsid w:val="0087437C"/>
    <w:rsid w:val="008746C2"/>
    <w:rsid w:val="0087504A"/>
    <w:rsid w:val="00875CD7"/>
    <w:rsid w:val="00876171"/>
    <w:rsid w:val="00876B4D"/>
    <w:rsid w:val="00877262"/>
    <w:rsid w:val="00877A7E"/>
    <w:rsid w:val="00877F18"/>
    <w:rsid w:val="00880139"/>
    <w:rsid w:val="008802E0"/>
    <w:rsid w:val="00880C1A"/>
    <w:rsid w:val="00880E99"/>
    <w:rsid w:val="00880F7E"/>
    <w:rsid w:val="00881285"/>
    <w:rsid w:val="00881349"/>
    <w:rsid w:val="00881749"/>
    <w:rsid w:val="00881BB6"/>
    <w:rsid w:val="00881C7A"/>
    <w:rsid w:val="0088222A"/>
    <w:rsid w:val="00882383"/>
    <w:rsid w:val="0088260A"/>
    <w:rsid w:val="00882C84"/>
    <w:rsid w:val="00883079"/>
    <w:rsid w:val="00883712"/>
    <w:rsid w:val="0088374B"/>
    <w:rsid w:val="00883EED"/>
    <w:rsid w:val="008842AD"/>
    <w:rsid w:val="008847DE"/>
    <w:rsid w:val="00884814"/>
    <w:rsid w:val="00884924"/>
    <w:rsid w:val="00884B97"/>
    <w:rsid w:val="00884B9B"/>
    <w:rsid w:val="008857C6"/>
    <w:rsid w:val="00885D41"/>
    <w:rsid w:val="00886094"/>
    <w:rsid w:val="00886645"/>
    <w:rsid w:val="00886929"/>
    <w:rsid w:val="00887F3A"/>
    <w:rsid w:val="0089010F"/>
    <w:rsid w:val="00891443"/>
    <w:rsid w:val="008938D9"/>
    <w:rsid w:val="008941E3"/>
    <w:rsid w:val="00894A88"/>
    <w:rsid w:val="00894CE9"/>
    <w:rsid w:val="00894EC2"/>
    <w:rsid w:val="00895386"/>
    <w:rsid w:val="00895A23"/>
    <w:rsid w:val="00896CDA"/>
    <w:rsid w:val="008971D9"/>
    <w:rsid w:val="00897536"/>
    <w:rsid w:val="00897660"/>
    <w:rsid w:val="008977E1"/>
    <w:rsid w:val="008979F4"/>
    <w:rsid w:val="008A02F8"/>
    <w:rsid w:val="008A079F"/>
    <w:rsid w:val="008A0856"/>
    <w:rsid w:val="008A1A6E"/>
    <w:rsid w:val="008A21FF"/>
    <w:rsid w:val="008A254E"/>
    <w:rsid w:val="008A25B9"/>
    <w:rsid w:val="008A289B"/>
    <w:rsid w:val="008A2CE2"/>
    <w:rsid w:val="008A2F69"/>
    <w:rsid w:val="008A304B"/>
    <w:rsid w:val="008A30AC"/>
    <w:rsid w:val="008A3C36"/>
    <w:rsid w:val="008A3F9C"/>
    <w:rsid w:val="008A4328"/>
    <w:rsid w:val="008A4378"/>
    <w:rsid w:val="008A44B8"/>
    <w:rsid w:val="008A463C"/>
    <w:rsid w:val="008A49D0"/>
    <w:rsid w:val="008A4D19"/>
    <w:rsid w:val="008A51A8"/>
    <w:rsid w:val="008A53FF"/>
    <w:rsid w:val="008A54C7"/>
    <w:rsid w:val="008A59F2"/>
    <w:rsid w:val="008A5B6C"/>
    <w:rsid w:val="008A5E09"/>
    <w:rsid w:val="008A77D8"/>
    <w:rsid w:val="008A7CCD"/>
    <w:rsid w:val="008B0274"/>
    <w:rsid w:val="008B0483"/>
    <w:rsid w:val="008B120C"/>
    <w:rsid w:val="008B18CE"/>
    <w:rsid w:val="008B2219"/>
    <w:rsid w:val="008B2488"/>
    <w:rsid w:val="008B2C5F"/>
    <w:rsid w:val="008B2FC8"/>
    <w:rsid w:val="008B3A4C"/>
    <w:rsid w:val="008B46F8"/>
    <w:rsid w:val="008B4858"/>
    <w:rsid w:val="008B51A0"/>
    <w:rsid w:val="008B51CE"/>
    <w:rsid w:val="008B5734"/>
    <w:rsid w:val="008B592A"/>
    <w:rsid w:val="008B592D"/>
    <w:rsid w:val="008B6194"/>
    <w:rsid w:val="008B655E"/>
    <w:rsid w:val="008B679E"/>
    <w:rsid w:val="008B68A9"/>
    <w:rsid w:val="008B6EE1"/>
    <w:rsid w:val="008B6F65"/>
    <w:rsid w:val="008B750F"/>
    <w:rsid w:val="008B7B5C"/>
    <w:rsid w:val="008C0236"/>
    <w:rsid w:val="008C09D0"/>
    <w:rsid w:val="008C0C99"/>
    <w:rsid w:val="008C0F97"/>
    <w:rsid w:val="008C0FA7"/>
    <w:rsid w:val="008C1089"/>
    <w:rsid w:val="008C1306"/>
    <w:rsid w:val="008C1345"/>
    <w:rsid w:val="008C13F4"/>
    <w:rsid w:val="008C1894"/>
    <w:rsid w:val="008C1E92"/>
    <w:rsid w:val="008C2017"/>
    <w:rsid w:val="008C2258"/>
    <w:rsid w:val="008C237D"/>
    <w:rsid w:val="008C301E"/>
    <w:rsid w:val="008C3208"/>
    <w:rsid w:val="008C3CE2"/>
    <w:rsid w:val="008C3DC8"/>
    <w:rsid w:val="008C41E1"/>
    <w:rsid w:val="008C4217"/>
    <w:rsid w:val="008C4292"/>
    <w:rsid w:val="008C4958"/>
    <w:rsid w:val="008C49A0"/>
    <w:rsid w:val="008C4BAA"/>
    <w:rsid w:val="008C4CC9"/>
    <w:rsid w:val="008C5872"/>
    <w:rsid w:val="008C58E7"/>
    <w:rsid w:val="008C60DE"/>
    <w:rsid w:val="008C6355"/>
    <w:rsid w:val="008C6367"/>
    <w:rsid w:val="008C6AE8"/>
    <w:rsid w:val="008C6EEA"/>
    <w:rsid w:val="008C7573"/>
    <w:rsid w:val="008C7F62"/>
    <w:rsid w:val="008D006F"/>
    <w:rsid w:val="008D00A5"/>
    <w:rsid w:val="008D0A29"/>
    <w:rsid w:val="008D0BA5"/>
    <w:rsid w:val="008D0E08"/>
    <w:rsid w:val="008D1717"/>
    <w:rsid w:val="008D1759"/>
    <w:rsid w:val="008D1CB4"/>
    <w:rsid w:val="008D2183"/>
    <w:rsid w:val="008D25C4"/>
    <w:rsid w:val="008D25E7"/>
    <w:rsid w:val="008D2979"/>
    <w:rsid w:val="008D307F"/>
    <w:rsid w:val="008D3341"/>
    <w:rsid w:val="008D34F1"/>
    <w:rsid w:val="008D39D8"/>
    <w:rsid w:val="008D3CFD"/>
    <w:rsid w:val="008D402D"/>
    <w:rsid w:val="008D43D2"/>
    <w:rsid w:val="008D4458"/>
    <w:rsid w:val="008D62AD"/>
    <w:rsid w:val="008D6A8D"/>
    <w:rsid w:val="008D6AB9"/>
    <w:rsid w:val="008D6BDF"/>
    <w:rsid w:val="008D6CC7"/>
    <w:rsid w:val="008D6D1A"/>
    <w:rsid w:val="008D6DD0"/>
    <w:rsid w:val="008D6EA6"/>
    <w:rsid w:val="008D76AA"/>
    <w:rsid w:val="008D77DC"/>
    <w:rsid w:val="008D7938"/>
    <w:rsid w:val="008D7A1E"/>
    <w:rsid w:val="008E0351"/>
    <w:rsid w:val="008E0456"/>
    <w:rsid w:val="008E0475"/>
    <w:rsid w:val="008E065E"/>
    <w:rsid w:val="008E0927"/>
    <w:rsid w:val="008E0BD0"/>
    <w:rsid w:val="008E1909"/>
    <w:rsid w:val="008E2C1D"/>
    <w:rsid w:val="008E3042"/>
    <w:rsid w:val="008E3508"/>
    <w:rsid w:val="008E3573"/>
    <w:rsid w:val="008E36BD"/>
    <w:rsid w:val="008E4959"/>
    <w:rsid w:val="008E4A85"/>
    <w:rsid w:val="008E4EDE"/>
    <w:rsid w:val="008E5282"/>
    <w:rsid w:val="008E55A2"/>
    <w:rsid w:val="008E5973"/>
    <w:rsid w:val="008E5F6A"/>
    <w:rsid w:val="008E6485"/>
    <w:rsid w:val="008E6CF0"/>
    <w:rsid w:val="008E7096"/>
    <w:rsid w:val="008E732B"/>
    <w:rsid w:val="008E7D59"/>
    <w:rsid w:val="008E7D9C"/>
    <w:rsid w:val="008E7F54"/>
    <w:rsid w:val="008F0535"/>
    <w:rsid w:val="008F090C"/>
    <w:rsid w:val="008F0D4A"/>
    <w:rsid w:val="008F0F0E"/>
    <w:rsid w:val="008F14D5"/>
    <w:rsid w:val="008F1805"/>
    <w:rsid w:val="008F1BF7"/>
    <w:rsid w:val="008F1C66"/>
    <w:rsid w:val="008F1EAB"/>
    <w:rsid w:val="008F2318"/>
    <w:rsid w:val="008F2432"/>
    <w:rsid w:val="008F2B21"/>
    <w:rsid w:val="008F2ECC"/>
    <w:rsid w:val="008F2F1F"/>
    <w:rsid w:val="008F31B3"/>
    <w:rsid w:val="008F33DC"/>
    <w:rsid w:val="008F3945"/>
    <w:rsid w:val="008F39DF"/>
    <w:rsid w:val="008F3E38"/>
    <w:rsid w:val="008F477F"/>
    <w:rsid w:val="008F527B"/>
    <w:rsid w:val="008F604A"/>
    <w:rsid w:val="008F6F81"/>
    <w:rsid w:val="008F740B"/>
    <w:rsid w:val="008F7504"/>
    <w:rsid w:val="00900778"/>
    <w:rsid w:val="0090091E"/>
    <w:rsid w:val="009009F5"/>
    <w:rsid w:val="00900B59"/>
    <w:rsid w:val="00901BF1"/>
    <w:rsid w:val="00902350"/>
    <w:rsid w:val="00902A63"/>
    <w:rsid w:val="0090336B"/>
    <w:rsid w:val="009041CC"/>
    <w:rsid w:val="00904216"/>
    <w:rsid w:val="00904597"/>
    <w:rsid w:val="009047D6"/>
    <w:rsid w:val="00904D50"/>
    <w:rsid w:val="009053AA"/>
    <w:rsid w:val="00905BC0"/>
    <w:rsid w:val="00905CC0"/>
    <w:rsid w:val="009062F4"/>
    <w:rsid w:val="00906939"/>
    <w:rsid w:val="00906DDA"/>
    <w:rsid w:val="00906E11"/>
    <w:rsid w:val="00907E8F"/>
    <w:rsid w:val="00910B7D"/>
    <w:rsid w:val="00911738"/>
    <w:rsid w:val="0091180D"/>
    <w:rsid w:val="00911D76"/>
    <w:rsid w:val="00911DFB"/>
    <w:rsid w:val="00911E40"/>
    <w:rsid w:val="009122C4"/>
    <w:rsid w:val="00912323"/>
    <w:rsid w:val="009124B4"/>
    <w:rsid w:val="00912786"/>
    <w:rsid w:val="00912E41"/>
    <w:rsid w:val="009139D9"/>
    <w:rsid w:val="00913AF8"/>
    <w:rsid w:val="0091451C"/>
    <w:rsid w:val="009146AF"/>
    <w:rsid w:val="00914AA8"/>
    <w:rsid w:val="00914AD8"/>
    <w:rsid w:val="00914E5F"/>
    <w:rsid w:val="009158EF"/>
    <w:rsid w:val="00915940"/>
    <w:rsid w:val="00915A9D"/>
    <w:rsid w:val="00915B73"/>
    <w:rsid w:val="00915EB2"/>
    <w:rsid w:val="00916079"/>
    <w:rsid w:val="009164B8"/>
    <w:rsid w:val="00917548"/>
    <w:rsid w:val="0091760A"/>
    <w:rsid w:val="00917CE9"/>
    <w:rsid w:val="00917FEE"/>
    <w:rsid w:val="009204E9"/>
    <w:rsid w:val="00920712"/>
    <w:rsid w:val="00920BF2"/>
    <w:rsid w:val="00921415"/>
    <w:rsid w:val="00922010"/>
    <w:rsid w:val="00923CEE"/>
    <w:rsid w:val="00923D0E"/>
    <w:rsid w:val="00924FC2"/>
    <w:rsid w:val="00924FC7"/>
    <w:rsid w:val="0092555C"/>
    <w:rsid w:val="00925AD2"/>
    <w:rsid w:val="00925FFA"/>
    <w:rsid w:val="009261AF"/>
    <w:rsid w:val="00926D7D"/>
    <w:rsid w:val="009277E2"/>
    <w:rsid w:val="00930227"/>
    <w:rsid w:val="009306F4"/>
    <w:rsid w:val="00930A86"/>
    <w:rsid w:val="0093153D"/>
    <w:rsid w:val="0093187C"/>
    <w:rsid w:val="00931B3F"/>
    <w:rsid w:val="00931BD9"/>
    <w:rsid w:val="00932022"/>
    <w:rsid w:val="0093305D"/>
    <w:rsid w:val="0093354C"/>
    <w:rsid w:val="009337C0"/>
    <w:rsid w:val="00933B74"/>
    <w:rsid w:val="00934033"/>
    <w:rsid w:val="00934220"/>
    <w:rsid w:val="009349FC"/>
    <w:rsid w:val="00934F0D"/>
    <w:rsid w:val="00934F77"/>
    <w:rsid w:val="0093521D"/>
    <w:rsid w:val="0093598D"/>
    <w:rsid w:val="00935C2B"/>
    <w:rsid w:val="00935DA8"/>
    <w:rsid w:val="009368F3"/>
    <w:rsid w:val="00936B09"/>
    <w:rsid w:val="00936EB1"/>
    <w:rsid w:val="00937AE9"/>
    <w:rsid w:val="009402E2"/>
    <w:rsid w:val="0094035B"/>
    <w:rsid w:val="00940EFE"/>
    <w:rsid w:val="00941334"/>
    <w:rsid w:val="00941636"/>
    <w:rsid w:val="00941CE8"/>
    <w:rsid w:val="009430FA"/>
    <w:rsid w:val="009434C9"/>
    <w:rsid w:val="00943742"/>
    <w:rsid w:val="00943C97"/>
    <w:rsid w:val="0094400D"/>
    <w:rsid w:val="0094420C"/>
    <w:rsid w:val="009447CB"/>
    <w:rsid w:val="009448EA"/>
    <w:rsid w:val="00944C7D"/>
    <w:rsid w:val="009453A8"/>
    <w:rsid w:val="009455AD"/>
    <w:rsid w:val="009458D0"/>
    <w:rsid w:val="00945C05"/>
    <w:rsid w:val="00945DA6"/>
    <w:rsid w:val="00945ED9"/>
    <w:rsid w:val="009460A4"/>
    <w:rsid w:val="009461D4"/>
    <w:rsid w:val="00946228"/>
    <w:rsid w:val="00946945"/>
    <w:rsid w:val="00946B21"/>
    <w:rsid w:val="00947481"/>
    <w:rsid w:val="00947713"/>
    <w:rsid w:val="009479C2"/>
    <w:rsid w:val="00950A40"/>
    <w:rsid w:val="00950AFE"/>
    <w:rsid w:val="00950B78"/>
    <w:rsid w:val="00950C4D"/>
    <w:rsid w:val="00950DE7"/>
    <w:rsid w:val="00951BF5"/>
    <w:rsid w:val="0095328C"/>
    <w:rsid w:val="00953679"/>
    <w:rsid w:val="00953920"/>
    <w:rsid w:val="00953D47"/>
    <w:rsid w:val="00955731"/>
    <w:rsid w:val="00955B0A"/>
    <w:rsid w:val="00955E54"/>
    <w:rsid w:val="00955F1A"/>
    <w:rsid w:val="0095672E"/>
    <w:rsid w:val="0095681E"/>
    <w:rsid w:val="009572D4"/>
    <w:rsid w:val="0095737D"/>
    <w:rsid w:val="00957F9B"/>
    <w:rsid w:val="009604D0"/>
    <w:rsid w:val="00961488"/>
    <w:rsid w:val="009614A8"/>
    <w:rsid w:val="00961921"/>
    <w:rsid w:val="00961A05"/>
    <w:rsid w:val="00961B33"/>
    <w:rsid w:val="00961D12"/>
    <w:rsid w:val="00961E91"/>
    <w:rsid w:val="0096430A"/>
    <w:rsid w:val="00964A23"/>
    <w:rsid w:val="00964E73"/>
    <w:rsid w:val="0096554B"/>
    <w:rsid w:val="00965661"/>
    <w:rsid w:val="0096584A"/>
    <w:rsid w:val="00965B27"/>
    <w:rsid w:val="0096735F"/>
    <w:rsid w:val="009674CE"/>
    <w:rsid w:val="0096774D"/>
    <w:rsid w:val="00967AFD"/>
    <w:rsid w:val="0097069B"/>
    <w:rsid w:val="00970F8B"/>
    <w:rsid w:val="0097137F"/>
    <w:rsid w:val="00971490"/>
    <w:rsid w:val="00971715"/>
    <w:rsid w:val="00971763"/>
    <w:rsid w:val="0097190B"/>
    <w:rsid w:val="00971AE3"/>
    <w:rsid w:val="00971E13"/>
    <w:rsid w:val="00971F08"/>
    <w:rsid w:val="009724FB"/>
    <w:rsid w:val="0097322C"/>
    <w:rsid w:val="00974CFD"/>
    <w:rsid w:val="009755AB"/>
    <w:rsid w:val="00975F66"/>
    <w:rsid w:val="0097603D"/>
    <w:rsid w:val="00976229"/>
    <w:rsid w:val="0097626D"/>
    <w:rsid w:val="00976460"/>
    <w:rsid w:val="00976949"/>
    <w:rsid w:val="00976959"/>
    <w:rsid w:val="00976E58"/>
    <w:rsid w:val="009774C2"/>
    <w:rsid w:val="00980477"/>
    <w:rsid w:val="009806E7"/>
    <w:rsid w:val="009807C9"/>
    <w:rsid w:val="009808EA"/>
    <w:rsid w:val="00981B63"/>
    <w:rsid w:val="00981ED0"/>
    <w:rsid w:val="009820D3"/>
    <w:rsid w:val="00982626"/>
    <w:rsid w:val="0098304D"/>
    <w:rsid w:val="00983270"/>
    <w:rsid w:val="009833C0"/>
    <w:rsid w:val="0098367F"/>
    <w:rsid w:val="00983784"/>
    <w:rsid w:val="00983F23"/>
    <w:rsid w:val="0098431F"/>
    <w:rsid w:val="00984A0A"/>
    <w:rsid w:val="00984F32"/>
    <w:rsid w:val="00985253"/>
    <w:rsid w:val="009853B3"/>
    <w:rsid w:val="0098540B"/>
    <w:rsid w:val="00985448"/>
    <w:rsid w:val="00985AEB"/>
    <w:rsid w:val="00986179"/>
    <w:rsid w:val="00986227"/>
    <w:rsid w:val="00986543"/>
    <w:rsid w:val="009867CB"/>
    <w:rsid w:val="00986A63"/>
    <w:rsid w:val="00986A9D"/>
    <w:rsid w:val="00986B96"/>
    <w:rsid w:val="00986DC4"/>
    <w:rsid w:val="00987269"/>
    <w:rsid w:val="009872B0"/>
    <w:rsid w:val="00987BED"/>
    <w:rsid w:val="00987C77"/>
    <w:rsid w:val="00990166"/>
    <w:rsid w:val="00990467"/>
    <w:rsid w:val="00990623"/>
    <w:rsid w:val="00990630"/>
    <w:rsid w:val="009906E0"/>
    <w:rsid w:val="00991310"/>
    <w:rsid w:val="00991761"/>
    <w:rsid w:val="00991874"/>
    <w:rsid w:val="009919AB"/>
    <w:rsid w:val="00991F92"/>
    <w:rsid w:val="00992C6E"/>
    <w:rsid w:val="00992E1E"/>
    <w:rsid w:val="00993AE9"/>
    <w:rsid w:val="00993C1E"/>
    <w:rsid w:val="00994DCA"/>
    <w:rsid w:val="00994EA1"/>
    <w:rsid w:val="00994EFE"/>
    <w:rsid w:val="0099511F"/>
    <w:rsid w:val="00995CE8"/>
    <w:rsid w:val="009960EC"/>
    <w:rsid w:val="00996252"/>
    <w:rsid w:val="009964CA"/>
    <w:rsid w:val="00996B9E"/>
    <w:rsid w:val="009970DD"/>
    <w:rsid w:val="0099759C"/>
    <w:rsid w:val="009A0082"/>
    <w:rsid w:val="009A0FBA"/>
    <w:rsid w:val="009A1312"/>
    <w:rsid w:val="009A1486"/>
    <w:rsid w:val="009A1525"/>
    <w:rsid w:val="009A1601"/>
    <w:rsid w:val="009A24DA"/>
    <w:rsid w:val="009A2BE9"/>
    <w:rsid w:val="009A2EE2"/>
    <w:rsid w:val="009A3BB6"/>
    <w:rsid w:val="009A4024"/>
    <w:rsid w:val="009A458F"/>
    <w:rsid w:val="009A462D"/>
    <w:rsid w:val="009A4CDF"/>
    <w:rsid w:val="009A4F43"/>
    <w:rsid w:val="009A4FEB"/>
    <w:rsid w:val="009A5386"/>
    <w:rsid w:val="009A5998"/>
    <w:rsid w:val="009A5B1D"/>
    <w:rsid w:val="009A5CBA"/>
    <w:rsid w:val="009A5F96"/>
    <w:rsid w:val="009A600D"/>
    <w:rsid w:val="009A60A4"/>
    <w:rsid w:val="009A63B4"/>
    <w:rsid w:val="009A6842"/>
    <w:rsid w:val="009A7549"/>
    <w:rsid w:val="009A798D"/>
    <w:rsid w:val="009A7A65"/>
    <w:rsid w:val="009A7A77"/>
    <w:rsid w:val="009A7ED8"/>
    <w:rsid w:val="009B0E34"/>
    <w:rsid w:val="009B1031"/>
    <w:rsid w:val="009B11F2"/>
    <w:rsid w:val="009B1236"/>
    <w:rsid w:val="009B1536"/>
    <w:rsid w:val="009B178F"/>
    <w:rsid w:val="009B1A7C"/>
    <w:rsid w:val="009B1F30"/>
    <w:rsid w:val="009B2558"/>
    <w:rsid w:val="009B2DBD"/>
    <w:rsid w:val="009B3328"/>
    <w:rsid w:val="009B396D"/>
    <w:rsid w:val="009B3AC2"/>
    <w:rsid w:val="009B3B83"/>
    <w:rsid w:val="009B42C2"/>
    <w:rsid w:val="009B480D"/>
    <w:rsid w:val="009B4DF4"/>
    <w:rsid w:val="009B52B4"/>
    <w:rsid w:val="009B564E"/>
    <w:rsid w:val="009B5B22"/>
    <w:rsid w:val="009B5E0A"/>
    <w:rsid w:val="009B699E"/>
    <w:rsid w:val="009B6EA0"/>
    <w:rsid w:val="009B6F39"/>
    <w:rsid w:val="009B7070"/>
    <w:rsid w:val="009B7902"/>
    <w:rsid w:val="009B7C6D"/>
    <w:rsid w:val="009B7E87"/>
    <w:rsid w:val="009C0169"/>
    <w:rsid w:val="009C0542"/>
    <w:rsid w:val="009C0B12"/>
    <w:rsid w:val="009C0F7E"/>
    <w:rsid w:val="009C15A2"/>
    <w:rsid w:val="009C1E10"/>
    <w:rsid w:val="009C220D"/>
    <w:rsid w:val="009C22CE"/>
    <w:rsid w:val="009C28D3"/>
    <w:rsid w:val="009C2D7C"/>
    <w:rsid w:val="009C354C"/>
    <w:rsid w:val="009C35F9"/>
    <w:rsid w:val="009C3654"/>
    <w:rsid w:val="009C3BEC"/>
    <w:rsid w:val="009C3C93"/>
    <w:rsid w:val="009C3C97"/>
    <w:rsid w:val="009C3D66"/>
    <w:rsid w:val="009C3DA1"/>
    <w:rsid w:val="009C3FE3"/>
    <w:rsid w:val="009C403E"/>
    <w:rsid w:val="009C4FCE"/>
    <w:rsid w:val="009C5DF6"/>
    <w:rsid w:val="009C620C"/>
    <w:rsid w:val="009C65A5"/>
    <w:rsid w:val="009C6726"/>
    <w:rsid w:val="009C6862"/>
    <w:rsid w:val="009C7895"/>
    <w:rsid w:val="009C795A"/>
    <w:rsid w:val="009C7AD4"/>
    <w:rsid w:val="009C7D33"/>
    <w:rsid w:val="009C7E49"/>
    <w:rsid w:val="009D00E7"/>
    <w:rsid w:val="009D01F5"/>
    <w:rsid w:val="009D032E"/>
    <w:rsid w:val="009D05B3"/>
    <w:rsid w:val="009D0964"/>
    <w:rsid w:val="009D1696"/>
    <w:rsid w:val="009D16A4"/>
    <w:rsid w:val="009D1817"/>
    <w:rsid w:val="009D1FD9"/>
    <w:rsid w:val="009D2057"/>
    <w:rsid w:val="009D2FDC"/>
    <w:rsid w:val="009D3874"/>
    <w:rsid w:val="009D3984"/>
    <w:rsid w:val="009D3A53"/>
    <w:rsid w:val="009D4064"/>
    <w:rsid w:val="009D49B3"/>
    <w:rsid w:val="009D4FF0"/>
    <w:rsid w:val="009D535D"/>
    <w:rsid w:val="009D585B"/>
    <w:rsid w:val="009D5C90"/>
    <w:rsid w:val="009D5CA9"/>
    <w:rsid w:val="009D5CF5"/>
    <w:rsid w:val="009D5D69"/>
    <w:rsid w:val="009D616B"/>
    <w:rsid w:val="009D6267"/>
    <w:rsid w:val="009D703C"/>
    <w:rsid w:val="009D718F"/>
    <w:rsid w:val="009D7497"/>
    <w:rsid w:val="009D79EF"/>
    <w:rsid w:val="009D7A17"/>
    <w:rsid w:val="009D7F3F"/>
    <w:rsid w:val="009E0463"/>
    <w:rsid w:val="009E068F"/>
    <w:rsid w:val="009E08DC"/>
    <w:rsid w:val="009E14E0"/>
    <w:rsid w:val="009E1515"/>
    <w:rsid w:val="009E18A7"/>
    <w:rsid w:val="009E1B5B"/>
    <w:rsid w:val="009E2440"/>
    <w:rsid w:val="009E2C6B"/>
    <w:rsid w:val="009E35DB"/>
    <w:rsid w:val="009E40D9"/>
    <w:rsid w:val="009E4224"/>
    <w:rsid w:val="009E47A3"/>
    <w:rsid w:val="009E47CA"/>
    <w:rsid w:val="009E4F1D"/>
    <w:rsid w:val="009E5890"/>
    <w:rsid w:val="009E5A6A"/>
    <w:rsid w:val="009E667E"/>
    <w:rsid w:val="009E66BE"/>
    <w:rsid w:val="009E6A89"/>
    <w:rsid w:val="009E6F32"/>
    <w:rsid w:val="009E7147"/>
    <w:rsid w:val="009E73A6"/>
    <w:rsid w:val="009E74F0"/>
    <w:rsid w:val="009E76C2"/>
    <w:rsid w:val="009E77B5"/>
    <w:rsid w:val="009E7D98"/>
    <w:rsid w:val="009F01C0"/>
    <w:rsid w:val="009F08F3"/>
    <w:rsid w:val="009F0909"/>
    <w:rsid w:val="009F0D86"/>
    <w:rsid w:val="009F147B"/>
    <w:rsid w:val="009F1FCD"/>
    <w:rsid w:val="009F344F"/>
    <w:rsid w:val="009F3466"/>
    <w:rsid w:val="009F37F0"/>
    <w:rsid w:val="009F3E88"/>
    <w:rsid w:val="009F3ED1"/>
    <w:rsid w:val="009F4702"/>
    <w:rsid w:val="009F4C63"/>
    <w:rsid w:val="009F504B"/>
    <w:rsid w:val="009F5286"/>
    <w:rsid w:val="009F56BF"/>
    <w:rsid w:val="009F5C24"/>
    <w:rsid w:val="009F5D9A"/>
    <w:rsid w:val="009F6C49"/>
    <w:rsid w:val="009F6D0D"/>
    <w:rsid w:val="009F6F6D"/>
    <w:rsid w:val="009F751C"/>
    <w:rsid w:val="009F761C"/>
    <w:rsid w:val="00A00023"/>
    <w:rsid w:val="00A000AD"/>
    <w:rsid w:val="00A001DB"/>
    <w:rsid w:val="00A00731"/>
    <w:rsid w:val="00A00FA3"/>
    <w:rsid w:val="00A0158D"/>
    <w:rsid w:val="00A016E9"/>
    <w:rsid w:val="00A01B71"/>
    <w:rsid w:val="00A01BE7"/>
    <w:rsid w:val="00A02037"/>
    <w:rsid w:val="00A02353"/>
    <w:rsid w:val="00A0267D"/>
    <w:rsid w:val="00A031D8"/>
    <w:rsid w:val="00A0332B"/>
    <w:rsid w:val="00A034C1"/>
    <w:rsid w:val="00A048A8"/>
    <w:rsid w:val="00A048B1"/>
    <w:rsid w:val="00A04F49"/>
    <w:rsid w:val="00A0541C"/>
    <w:rsid w:val="00A0585C"/>
    <w:rsid w:val="00A05A66"/>
    <w:rsid w:val="00A05E16"/>
    <w:rsid w:val="00A05F90"/>
    <w:rsid w:val="00A0670D"/>
    <w:rsid w:val="00A07281"/>
    <w:rsid w:val="00A075BA"/>
    <w:rsid w:val="00A07637"/>
    <w:rsid w:val="00A07821"/>
    <w:rsid w:val="00A07A73"/>
    <w:rsid w:val="00A07BA8"/>
    <w:rsid w:val="00A10503"/>
    <w:rsid w:val="00A10A0C"/>
    <w:rsid w:val="00A110FC"/>
    <w:rsid w:val="00A11385"/>
    <w:rsid w:val="00A11518"/>
    <w:rsid w:val="00A11936"/>
    <w:rsid w:val="00A119E5"/>
    <w:rsid w:val="00A11E07"/>
    <w:rsid w:val="00A12467"/>
    <w:rsid w:val="00A132C1"/>
    <w:rsid w:val="00A13A31"/>
    <w:rsid w:val="00A13C0F"/>
    <w:rsid w:val="00A13E54"/>
    <w:rsid w:val="00A14334"/>
    <w:rsid w:val="00A1467B"/>
    <w:rsid w:val="00A149A2"/>
    <w:rsid w:val="00A14D8F"/>
    <w:rsid w:val="00A157B0"/>
    <w:rsid w:val="00A16755"/>
    <w:rsid w:val="00A169D5"/>
    <w:rsid w:val="00A172E6"/>
    <w:rsid w:val="00A174E9"/>
    <w:rsid w:val="00A1794F"/>
    <w:rsid w:val="00A17F63"/>
    <w:rsid w:val="00A2105F"/>
    <w:rsid w:val="00A210E0"/>
    <w:rsid w:val="00A212E6"/>
    <w:rsid w:val="00A21809"/>
    <w:rsid w:val="00A2193B"/>
    <w:rsid w:val="00A2193E"/>
    <w:rsid w:val="00A21BDE"/>
    <w:rsid w:val="00A21C84"/>
    <w:rsid w:val="00A22F3B"/>
    <w:rsid w:val="00A23045"/>
    <w:rsid w:val="00A2351A"/>
    <w:rsid w:val="00A24278"/>
    <w:rsid w:val="00A24591"/>
    <w:rsid w:val="00A2487C"/>
    <w:rsid w:val="00A24CB9"/>
    <w:rsid w:val="00A251F9"/>
    <w:rsid w:val="00A262C4"/>
    <w:rsid w:val="00A26418"/>
    <w:rsid w:val="00A264A9"/>
    <w:rsid w:val="00A2652F"/>
    <w:rsid w:val="00A26980"/>
    <w:rsid w:val="00A269D0"/>
    <w:rsid w:val="00A26DCF"/>
    <w:rsid w:val="00A27755"/>
    <w:rsid w:val="00A27785"/>
    <w:rsid w:val="00A27938"/>
    <w:rsid w:val="00A27A24"/>
    <w:rsid w:val="00A27F8F"/>
    <w:rsid w:val="00A30165"/>
    <w:rsid w:val="00A30187"/>
    <w:rsid w:val="00A30581"/>
    <w:rsid w:val="00A30F13"/>
    <w:rsid w:val="00A3127B"/>
    <w:rsid w:val="00A316D1"/>
    <w:rsid w:val="00A3291F"/>
    <w:rsid w:val="00A32A44"/>
    <w:rsid w:val="00A32D91"/>
    <w:rsid w:val="00A33239"/>
    <w:rsid w:val="00A33276"/>
    <w:rsid w:val="00A33798"/>
    <w:rsid w:val="00A33A8F"/>
    <w:rsid w:val="00A3416C"/>
    <w:rsid w:val="00A3438C"/>
    <w:rsid w:val="00A3448A"/>
    <w:rsid w:val="00A34659"/>
    <w:rsid w:val="00A34DB2"/>
    <w:rsid w:val="00A36297"/>
    <w:rsid w:val="00A36CC1"/>
    <w:rsid w:val="00A3756D"/>
    <w:rsid w:val="00A40A21"/>
    <w:rsid w:val="00A41DBB"/>
    <w:rsid w:val="00A41E2B"/>
    <w:rsid w:val="00A42D43"/>
    <w:rsid w:val="00A42DB1"/>
    <w:rsid w:val="00A43401"/>
    <w:rsid w:val="00A4502A"/>
    <w:rsid w:val="00A45B36"/>
    <w:rsid w:val="00A45B74"/>
    <w:rsid w:val="00A45FE6"/>
    <w:rsid w:val="00A461A2"/>
    <w:rsid w:val="00A466D5"/>
    <w:rsid w:val="00A475CF"/>
    <w:rsid w:val="00A4796D"/>
    <w:rsid w:val="00A5073A"/>
    <w:rsid w:val="00A526FE"/>
    <w:rsid w:val="00A52C61"/>
    <w:rsid w:val="00A52E1D"/>
    <w:rsid w:val="00A531D5"/>
    <w:rsid w:val="00A53B95"/>
    <w:rsid w:val="00A541B9"/>
    <w:rsid w:val="00A5506E"/>
    <w:rsid w:val="00A550E9"/>
    <w:rsid w:val="00A5590E"/>
    <w:rsid w:val="00A55990"/>
    <w:rsid w:val="00A55FDB"/>
    <w:rsid w:val="00A5618B"/>
    <w:rsid w:val="00A562AA"/>
    <w:rsid w:val="00A56322"/>
    <w:rsid w:val="00A56448"/>
    <w:rsid w:val="00A56596"/>
    <w:rsid w:val="00A5679B"/>
    <w:rsid w:val="00A567D5"/>
    <w:rsid w:val="00A57266"/>
    <w:rsid w:val="00A5757D"/>
    <w:rsid w:val="00A57D0F"/>
    <w:rsid w:val="00A60922"/>
    <w:rsid w:val="00A60A30"/>
    <w:rsid w:val="00A60C76"/>
    <w:rsid w:val="00A61124"/>
    <w:rsid w:val="00A61499"/>
    <w:rsid w:val="00A614F5"/>
    <w:rsid w:val="00A61566"/>
    <w:rsid w:val="00A61CCA"/>
    <w:rsid w:val="00A626A2"/>
    <w:rsid w:val="00A62A77"/>
    <w:rsid w:val="00A62B1E"/>
    <w:rsid w:val="00A62C02"/>
    <w:rsid w:val="00A62C63"/>
    <w:rsid w:val="00A62C80"/>
    <w:rsid w:val="00A63483"/>
    <w:rsid w:val="00A64360"/>
    <w:rsid w:val="00A646CA"/>
    <w:rsid w:val="00A64F22"/>
    <w:rsid w:val="00A6525C"/>
    <w:rsid w:val="00A6559E"/>
    <w:rsid w:val="00A656AB"/>
    <w:rsid w:val="00A657D7"/>
    <w:rsid w:val="00A65BCA"/>
    <w:rsid w:val="00A65BDF"/>
    <w:rsid w:val="00A660AC"/>
    <w:rsid w:val="00A665C3"/>
    <w:rsid w:val="00A669E0"/>
    <w:rsid w:val="00A66CD2"/>
    <w:rsid w:val="00A66FF5"/>
    <w:rsid w:val="00A674DA"/>
    <w:rsid w:val="00A67632"/>
    <w:rsid w:val="00A6777A"/>
    <w:rsid w:val="00A67E6C"/>
    <w:rsid w:val="00A7019A"/>
    <w:rsid w:val="00A70244"/>
    <w:rsid w:val="00A708B8"/>
    <w:rsid w:val="00A71B99"/>
    <w:rsid w:val="00A71C79"/>
    <w:rsid w:val="00A721DA"/>
    <w:rsid w:val="00A723D0"/>
    <w:rsid w:val="00A73248"/>
    <w:rsid w:val="00A739D0"/>
    <w:rsid w:val="00A73D40"/>
    <w:rsid w:val="00A73EC1"/>
    <w:rsid w:val="00A741D6"/>
    <w:rsid w:val="00A74267"/>
    <w:rsid w:val="00A743C8"/>
    <w:rsid w:val="00A75601"/>
    <w:rsid w:val="00A759E7"/>
    <w:rsid w:val="00A76175"/>
    <w:rsid w:val="00A761D4"/>
    <w:rsid w:val="00A76BE7"/>
    <w:rsid w:val="00A76FA0"/>
    <w:rsid w:val="00A77101"/>
    <w:rsid w:val="00A7757F"/>
    <w:rsid w:val="00A77EC4"/>
    <w:rsid w:val="00A800E0"/>
    <w:rsid w:val="00A80EEE"/>
    <w:rsid w:val="00A81AFE"/>
    <w:rsid w:val="00A8241D"/>
    <w:rsid w:val="00A824A1"/>
    <w:rsid w:val="00A829BC"/>
    <w:rsid w:val="00A82AB9"/>
    <w:rsid w:val="00A82EF3"/>
    <w:rsid w:val="00A836CC"/>
    <w:rsid w:val="00A8393B"/>
    <w:rsid w:val="00A840BA"/>
    <w:rsid w:val="00A844D9"/>
    <w:rsid w:val="00A84AA2"/>
    <w:rsid w:val="00A8525A"/>
    <w:rsid w:val="00A85DD8"/>
    <w:rsid w:val="00A86859"/>
    <w:rsid w:val="00A87040"/>
    <w:rsid w:val="00A87092"/>
    <w:rsid w:val="00A876D3"/>
    <w:rsid w:val="00A8770E"/>
    <w:rsid w:val="00A87747"/>
    <w:rsid w:val="00A877FF"/>
    <w:rsid w:val="00A90680"/>
    <w:rsid w:val="00A90E9C"/>
    <w:rsid w:val="00A90EF9"/>
    <w:rsid w:val="00A9133D"/>
    <w:rsid w:val="00A92706"/>
    <w:rsid w:val="00A92879"/>
    <w:rsid w:val="00A92CEA"/>
    <w:rsid w:val="00A93C2D"/>
    <w:rsid w:val="00A9442A"/>
    <w:rsid w:val="00A94D30"/>
    <w:rsid w:val="00A95879"/>
    <w:rsid w:val="00A95C74"/>
    <w:rsid w:val="00A96407"/>
    <w:rsid w:val="00A966FC"/>
    <w:rsid w:val="00A9674E"/>
    <w:rsid w:val="00A9747A"/>
    <w:rsid w:val="00A9777A"/>
    <w:rsid w:val="00AA016F"/>
    <w:rsid w:val="00AA02F6"/>
    <w:rsid w:val="00AA0BF8"/>
    <w:rsid w:val="00AA14CF"/>
    <w:rsid w:val="00AA1ED6"/>
    <w:rsid w:val="00AA20B3"/>
    <w:rsid w:val="00AA2274"/>
    <w:rsid w:val="00AA2322"/>
    <w:rsid w:val="00AA2552"/>
    <w:rsid w:val="00AA28EE"/>
    <w:rsid w:val="00AA2CC8"/>
    <w:rsid w:val="00AA3066"/>
    <w:rsid w:val="00AA3538"/>
    <w:rsid w:val="00AA36BC"/>
    <w:rsid w:val="00AA3BE9"/>
    <w:rsid w:val="00AA3BF3"/>
    <w:rsid w:val="00AA3D7D"/>
    <w:rsid w:val="00AA3EB5"/>
    <w:rsid w:val="00AA436A"/>
    <w:rsid w:val="00AA47B5"/>
    <w:rsid w:val="00AA51D6"/>
    <w:rsid w:val="00AA5DB3"/>
    <w:rsid w:val="00AA65BE"/>
    <w:rsid w:val="00AA6848"/>
    <w:rsid w:val="00AA68A9"/>
    <w:rsid w:val="00AA69D0"/>
    <w:rsid w:val="00AA6D3A"/>
    <w:rsid w:val="00AA6D88"/>
    <w:rsid w:val="00AA73A1"/>
    <w:rsid w:val="00AA7518"/>
    <w:rsid w:val="00AB0373"/>
    <w:rsid w:val="00AB047C"/>
    <w:rsid w:val="00AB09BF"/>
    <w:rsid w:val="00AB0BC8"/>
    <w:rsid w:val="00AB0C9B"/>
    <w:rsid w:val="00AB1012"/>
    <w:rsid w:val="00AB11CA"/>
    <w:rsid w:val="00AB1294"/>
    <w:rsid w:val="00AB14D9"/>
    <w:rsid w:val="00AB168B"/>
    <w:rsid w:val="00AB16AB"/>
    <w:rsid w:val="00AB1775"/>
    <w:rsid w:val="00AB1BC8"/>
    <w:rsid w:val="00AB1D16"/>
    <w:rsid w:val="00AB1DFB"/>
    <w:rsid w:val="00AB250E"/>
    <w:rsid w:val="00AB3474"/>
    <w:rsid w:val="00AB43E8"/>
    <w:rsid w:val="00AB48F7"/>
    <w:rsid w:val="00AB4903"/>
    <w:rsid w:val="00AB4AB8"/>
    <w:rsid w:val="00AB4B2B"/>
    <w:rsid w:val="00AB60BD"/>
    <w:rsid w:val="00AB655E"/>
    <w:rsid w:val="00AB68AA"/>
    <w:rsid w:val="00AB68AC"/>
    <w:rsid w:val="00AB7D97"/>
    <w:rsid w:val="00AC007F"/>
    <w:rsid w:val="00AC1457"/>
    <w:rsid w:val="00AC1ACA"/>
    <w:rsid w:val="00AC1BC8"/>
    <w:rsid w:val="00AC2430"/>
    <w:rsid w:val="00AC2DFC"/>
    <w:rsid w:val="00AC2E01"/>
    <w:rsid w:val="00AC2ECD"/>
    <w:rsid w:val="00AC2FEC"/>
    <w:rsid w:val="00AC303C"/>
    <w:rsid w:val="00AC3119"/>
    <w:rsid w:val="00AC3D9F"/>
    <w:rsid w:val="00AC3F2A"/>
    <w:rsid w:val="00AC4007"/>
    <w:rsid w:val="00AC49FB"/>
    <w:rsid w:val="00AC4E93"/>
    <w:rsid w:val="00AC50B7"/>
    <w:rsid w:val="00AC5596"/>
    <w:rsid w:val="00AC5651"/>
    <w:rsid w:val="00AC58AF"/>
    <w:rsid w:val="00AC5A10"/>
    <w:rsid w:val="00AC670D"/>
    <w:rsid w:val="00AC6CD4"/>
    <w:rsid w:val="00AC7808"/>
    <w:rsid w:val="00AD0140"/>
    <w:rsid w:val="00AD0248"/>
    <w:rsid w:val="00AD0892"/>
    <w:rsid w:val="00AD0AA3"/>
    <w:rsid w:val="00AD0B6E"/>
    <w:rsid w:val="00AD141C"/>
    <w:rsid w:val="00AD17E2"/>
    <w:rsid w:val="00AD1E37"/>
    <w:rsid w:val="00AD20F1"/>
    <w:rsid w:val="00AD216A"/>
    <w:rsid w:val="00AD26D4"/>
    <w:rsid w:val="00AD2B1C"/>
    <w:rsid w:val="00AD30AB"/>
    <w:rsid w:val="00AD38B5"/>
    <w:rsid w:val="00AD390E"/>
    <w:rsid w:val="00AD3A57"/>
    <w:rsid w:val="00AD3F94"/>
    <w:rsid w:val="00AD4123"/>
    <w:rsid w:val="00AD4A5A"/>
    <w:rsid w:val="00AD4BC1"/>
    <w:rsid w:val="00AD4DA3"/>
    <w:rsid w:val="00AD4F61"/>
    <w:rsid w:val="00AD518A"/>
    <w:rsid w:val="00AD5875"/>
    <w:rsid w:val="00AD5892"/>
    <w:rsid w:val="00AD5AF2"/>
    <w:rsid w:val="00AD5B2F"/>
    <w:rsid w:val="00AD5F60"/>
    <w:rsid w:val="00AD6125"/>
    <w:rsid w:val="00AD6C87"/>
    <w:rsid w:val="00AD73D5"/>
    <w:rsid w:val="00AD79F2"/>
    <w:rsid w:val="00AD7E59"/>
    <w:rsid w:val="00AE08E3"/>
    <w:rsid w:val="00AE111F"/>
    <w:rsid w:val="00AE13B3"/>
    <w:rsid w:val="00AE13D8"/>
    <w:rsid w:val="00AE13F7"/>
    <w:rsid w:val="00AE1959"/>
    <w:rsid w:val="00AE1B79"/>
    <w:rsid w:val="00AE1D42"/>
    <w:rsid w:val="00AE2628"/>
    <w:rsid w:val="00AE265A"/>
    <w:rsid w:val="00AE27AC"/>
    <w:rsid w:val="00AE2C5D"/>
    <w:rsid w:val="00AE2D7C"/>
    <w:rsid w:val="00AE2FAE"/>
    <w:rsid w:val="00AE3153"/>
    <w:rsid w:val="00AE40E0"/>
    <w:rsid w:val="00AE4750"/>
    <w:rsid w:val="00AE4DBA"/>
    <w:rsid w:val="00AE4F07"/>
    <w:rsid w:val="00AE5000"/>
    <w:rsid w:val="00AE5E40"/>
    <w:rsid w:val="00AE6761"/>
    <w:rsid w:val="00AE6A09"/>
    <w:rsid w:val="00AE7112"/>
    <w:rsid w:val="00AE75AC"/>
    <w:rsid w:val="00AF035C"/>
    <w:rsid w:val="00AF04FD"/>
    <w:rsid w:val="00AF0555"/>
    <w:rsid w:val="00AF0E62"/>
    <w:rsid w:val="00AF14DE"/>
    <w:rsid w:val="00AF1A60"/>
    <w:rsid w:val="00AF1C5D"/>
    <w:rsid w:val="00AF1F29"/>
    <w:rsid w:val="00AF21F3"/>
    <w:rsid w:val="00AF2264"/>
    <w:rsid w:val="00AF22AF"/>
    <w:rsid w:val="00AF247A"/>
    <w:rsid w:val="00AF278E"/>
    <w:rsid w:val="00AF2927"/>
    <w:rsid w:val="00AF3B13"/>
    <w:rsid w:val="00AF41C0"/>
    <w:rsid w:val="00AF42D7"/>
    <w:rsid w:val="00AF48E4"/>
    <w:rsid w:val="00AF54F1"/>
    <w:rsid w:val="00AF5724"/>
    <w:rsid w:val="00AF5A71"/>
    <w:rsid w:val="00AF5D8F"/>
    <w:rsid w:val="00AF5E17"/>
    <w:rsid w:val="00AF68D2"/>
    <w:rsid w:val="00AF6AD6"/>
    <w:rsid w:val="00AF79F7"/>
    <w:rsid w:val="00AF7A0E"/>
    <w:rsid w:val="00AF7EAE"/>
    <w:rsid w:val="00B000A1"/>
    <w:rsid w:val="00B00172"/>
    <w:rsid w:val="00B006FE"/>
    <w:rsid w:val="00B007CB"/>
    <w:rsid w:val="00B00A3A"/>
    <w:rsid w:val="00B00AA2"/>
    <w:rsid w:val="00B011E5"/>
    <w:rsid w:val="00B01C48"/>
    <w:rsid w:val="00B01D16"/>
    <w:rsid w:val="00B01D17"/>
    <w:rsid w:val="00B0269B"/>
    <w:rsid w:val="00B02AA9"/>
    <w:rsid w:val="00B02FA3"/>
    <w:rsid w:val="00B03838"/>
    <w:rsid w:val="00B03E4C"/>
    <w:rsid w:val="00B043C2"/>
    <w:rsid w:val="00B04B53"/>
    <w:rsid w:val="00B04C97"/>
    <w:rsid w:val="00B04FA7"/>
    <w:rsid w:val="00B05084"/>
    <w:rsid w:val="00B050D3"/>
    <w:rsid w:val="00B052B1"/>
    <w:rsid w:val="00B05A71"/>
    <w:rsid w:val="00B05EE4"/>
    <w:rsid w:val="00B06682"/>
    <w:rsid w:val="00B06A25"/>
    <w:rsid w:val="00B06D3C"/>
    <w:rsid w:val="00B06F60"/>
    <w:rsid w:val="00B07C4B"/>
    <w:rsid w:val="00B1096C"/>
    <w:rsid w:val="00B1105E"/>
    <w:rsid w:val="00B11B74"/>
    <w:rsid w:val="00B1224F"/>
    <w:rsid w:val="00B132B9"/>
    <w:rsid w:val="00B13641"/>
    <w:rsid w:val="00B13A6B"/>
    <w:rsid w:val="00B13EFF"/>
    <w:rsid w:val="00B14143"/>
    <w:rsid w:val="00B141CE"/>
    <w:rsid w:val="00B15252"/>
    <w:rsid w:val="00B157F9"/>
    <w:rsid w:val="00B15BBA"/>
    <w:rsid w:val="00B15C5D"/>
    <w:rsid w:val="00B15E1A"/>
    <w:rsid w:val="00B176C1"/>
    <w:rsid w:val="00B1792E"/>
    <w:rsid w:val="00B17969"/>
    <w:rsid w:val="00B2014A"/>
    <w:rsid w:val="00B20256"/>
    <w:rsid w:val="00B20D09"/>
    <w:rsid w:val="00B213C5"/>
    <w:rsid w:val="00B215AF"/>
    <w:rsid w:val="00B21CA6"/>
    <w:rsid w:val="00B220A9"/>
    <w:rsid w:val="00B222FD"/>
    <w:rsid w:val="00B227BB"/>
    <w:rsid w:val="00B228A1"/>
    <w:rsid w:val="00B22C88"/>
    <w:rsid w:val="00B22CAB"/>
    <w:rsid w:val="00B23422"/>
    <w:rsid w:val="00B235F9"/>
    <w:rsid w:val="00B23832"/>
    <w:rsid w:val="00B238CC"/>
    <w:rsid w:val="00B23B75"/>
    <w:rsid w:val="00B23E6B"/>
    <w:rsid w:val="00B2488E"/>
    <w:rsid w:val="00B24F50"/>
    <w:rsid w:val="00B25B8A"/>
    <w:rsid w:val="00B25BB5"/>
    <w:rsid w:val="00B25EA7"/>
    <w:rsid w:val="00B264FF"/>
    <w:rsid w:val="00B267B2"/>
    <w:rsid w:val="00B26F0B"/>
    <w:rsid w:val="00B27138"/>
    <w:rsid w:val="00B27506"/>
    <w:rsid w:val="00B2763F"/>
    <w:rsid w:val="00B27961"/>
    <w:rsid w:val="00B27AAC"/>
    <w:rsid w:val="00B27D99"/>
    <w:rsid w:val="00B27E7B"/>
    <w:rsid w:val="00B3038A"/>
    <w:rsid w:val="00B30529"/>
    <w:rsid w:val="00B30929"/>
    <w:rsid w:val="00B30A84"/>
    <w:rsid w:val="00B31A1E"/>
    <w:rsid w:val="00B31F25"/>
    <w:rsid w:val="00B32591"/>
    <w:rsid w:val="00B32623"/>
    <w:rsid w:val="00B32A49"/>
    <w:rsid w:val="00B32F74"/>
    <w:rsid w:val="00B33859"/>
    <w:rsid w:val="00B33972"/>
    <w:rsid w:val="00B34B4F"/>
    <w:rsid w:val="00B351D2"/>
    <w:rsid w:val="00B359F8"/>
    <w:rsid w:val="00B36075"/>
    <w:rsid w:val="00B361C8"/>
    <w:rsid w:val="00B3624D"/>
    <w:rsid w:val="00B3688A"/>
    <w:rsid w:val="00B369C1"/>
    <w:rsid w:val="00B372AA"/>
    <w:rsid w:val="00B37F78"/>
    <w:rsid w:val="00B403E1"/>
    <w:rsid w:val="00B40445"/>
    <w:rsid w:val="00B405B5"/>
    <w:rsid w:val="00B405C5"/>
    <w:rsid w:val="00B4094E"/>
    <w:rsid w:val="00B409DA"/>
    <w:rsid w:val="00B409E0"/>
    <w:rsid w:val="00B40CC0"/>
    <w:rsid w:val="00B40EB0"/>
    <w:rsid w:val="00B41888"/>
    <w:rsid w:val="00B423E5"/>
    <w:rsid w:val="00B4241D"/>
    <w:rsid w:val="00B4257B"/>
    <w:rsid w:val="00B42B18"/>
    <w:rsid w:val="00B42B77"/>
    <w:rsid w:val="00B431C1"/>
    <w:rsid w:val="00B43582"/>
    <w:rsid w:val="00B435BE"/>
    <w:rsid w:val="00B436C3"/>
    <w:rsid w:val="00B43B59"/>
    <w:rsid w:val="00B43C5E"/>
    <w:rsid w:val="00B44B1A"/>
    <w:rsid w:val="00B4515A"/>
    <w:rsid w:val="00B451E6"/>
    <w:rsid w:val="00B452C0"/>
    <w:rsid w:val="00B45A52"/>
    <w:rsid w:val="00B46175"/>
    <w:rsid w:val="00B462E8"/>
    <w:rsid w:val="00B46A51"/>
    <w:rsid w:val="00B46FD8"/>
    <w:rsid w:val="00B471AC"/>
    <w:rsid w:val="00B474A3"/>
    <w:rsid w:val="00B50447"/>
    <w:rsid w:val="00B50A00"/>
    <w:rsid w:val="00B50D75"/>
    <w:rsid w:val="00B51C6E"/>
    <w:rsid w:val="00B51CE1"/>
    <w:rsid w:val="00B5213B"/>
    <w:rsid w:val="00B521E3"/>
    <w:rsid w:val="00B5223C"/>
    <w:rsid w:val="00B5246C"/>
    <w:rsid w:val="00B52811"/>
    <w:rsid w:val="00B52C23"/>
    <w:rsid w:val="00B53121"/>
    <w:rsid w:val="00B53359"/>
    <w:rsid w:val="00B533B1"/>
    <w:rsid w:val="00B5374A"/>
    <w:rsid w:val="00B53E2F"/>
    <w:rsid w:val="00B54100"/>
    <w:rsid w:val="00B5453F"/>
    <w:rsid w:val="00B54664"/>
    <w:rsid w:val="00B547C5"/>
    <w:rsid w:val="00B548B7"/>
    <w:rsid w:val="00B54BC7"/>
    <w:rsid w:val="00B54D35"/>
    <w:rsid w:val="00B55356"/>
    <w:rsid w:val="00B55379"/>
    <w:rsid w:val="00B5541E"/>
    <w:rsid w:val="00B57919"/>
    <w:rsid w:val="00B60806"/>
    <w:rsid w:val="00B6089F"/>
    <w:rsid w:val="00B60F36"/>
    <w:rsid w:val="00B611FC"/>
    <w:rsid w:val="00B61AEB"/>
    <w:rsid w:val="00B61E2D"/>
    <w:rsid w:val="00B621DA"/>
    <w:rsid w:val="00B625F0"/>
    <w:rsid w:val="00B6276D"/>
    <w:rsid w:val="00B62DCA"/>
    <w:rsid w:val="00B62F4F"/>
    <w:rsid w:val="00B63469"/>
    <w:rsid w:val="00B63938"/>
    <w:rsid w:val="00B63A83"/>
    <w:rsid w:val="00B63B23"/>
    <w:rsid w:val="00B63E23"/>
    <w:rsid w:val="00B64619"/>
    <w:rsid w:val="00B6479A"/>
    <w:rsid w:val="00B64A95"/>
    <w:rsid w:val="00B64BAA"/>
    <w:rsid w:val="00B64E46"/>
    <w:rsid w:val="00B64E4D"/>
    <w:rsid w:val="00B64F7F"/>
    <w:rsid w:val="00B65487"/>
    <w:rsid w:val="00B66214"/>
    <w:rsid w:val="00B66291"/>
    <w:rsid w:val="00B664C7"/>
    <w:rsid w:val="00B6651C"/>
    <w:rsid w:val="00B675E2"/>
    <w:rsid w:val="00B67983"/>
    <w:rsid w:val="00B707A7"/>
    <w:rsid w:val="00B70B9B"/>
    <w:rsid w:val="00B71650"/>
    <w:rsid w:val="00B716FA"/>
    <w:rsid w:val="00B71887"/>
    <w:rsid w:val="00B71EAB"/>
    <w:rsid w:val="00B72AA6"/>
    <w:rsid w:val="00B72AC7"/>
    <w:rsid w:val="00B72DD4"/>
    <w:rsid w:val="00B733EB"/>
    <w:rsid w:val="00B73479"/>
    <w:rsid w:val="00B739F6"/>
    <w:rsid w:val="00B73A18"/>
    <w:rsid w:val="00B74438"/>
    <w:rsid w:val="00B74B07"/>
    <w:rsid w:val="00B74BAC"/>
    <w:rsid w:val="00B750D5"/>
    <w:rsid w:val="00B75182"/>
    <w:rsid w:val="00B7527E"/>
    <w:rsid w:val="00B759AF"/>
    <w:rsid w:val="00B75EDA"/>
    <w:rsid w:val="00B76487"/>
    <w:rsid w:val="00B76629"/>
    <w:rsid w:val="00B767E4"/>
    <w:rsid w:val="00B7686F"/>
    <w:rsid w:val="00B769A9"/>
    <w:rsid w:val="00B773FC"/>
    <w:rsid w:val="00B77C1A"/>
    <w:rsid w:val="00B77F19"/>
    <w:rsid w:val="00B803F3"/>
    <w:rsid w:val="00B80E3C"/>
    <w:rsid w:val="00B810B7"/>
    <w:rsid w:val="00B81A6C"/>
    <w:rsid w:val="00B81E08"/>
    <w:rsid w:val="00B81E7F"/>
    <w:rsid w:val="00B82622"/>
    <w:rsid w:val="00B82DC5"/>
    <w:rsid w:val="00B82DDA"/>
    <w:rsid w:val="00B830FA"/>
    <w:rsid w:val="00B8317E"/>
    <w:rsid w:val="00B8341F"/>
    <w:rsid w:val="00B8369D"/>
    <w:rsid w:val="00B836A1"/>
    <w:rsid w:val="00B83976"/>
    <w:rsid w:val="00B83BB4"/>
    <w:rsid w:val="00B83D30"/>
    <w:rsid w:val="00B8411C"/>
    <w:rsid w:val="00B84C37"/>
    <w:rsid w:val="00B8569A"/>
    <w:rsid w:val="00B85ACF"/>
    <w:rsid w:val="00B85B2D"/>
    <w:rsid w:val="00B85D53"/>
    <w:rsid w:val="00B85D63"/>
    <w:rsid w:val="00B85DE5"/>
    <w:rsid w:val="00B8675A"/>
    <w:rsid w:val="00B86BE9"/>
    <w:rsid w:val="00B873E1"/>
    <w:rsid w:val="00B87557"/>
    <w:rsid w:val="00B878E1"/>
    <w:rsid w:val="00B87A78"/>
    <w:rsid w:val="00B87CB7"/>
    <w:rsid w:val="00B90293"/>
    <w:rsid w:val="00B90318"/>
    <w:rsid w:val="00B90392"/>
    <w:rsid w:val="00B903AF"/>
    <w:rsid w:val="00B9076D"/>
    <w:rsid w:val="00B90A34"/>
    <w:rsid w:val="00B90F73"/>
    <w:rsid w:val="00B913BB"/>
    <w:rsid w:val="00B918C1"/>
    <w:rsid w:val="00B9196B"/>
    <w:rsid w:val="00B93212"/>
    <w:rsid w:val="00B93443"/>
    <w:rsid w:val="00B93B59"/>
    <w:rsid w:val="00B93E05"/>
    <w:rsid w:val="00B93E53"/>
    <w:rsid w:val="00B9406A"/>
    <w:rsid w:val="00B941A2"/>
    <w:rsid w:val="00B94F76"/>
    <w:rsid w:val="00B95046"/>
    <w:rsid w:val="00B953D6"/>
    <w:rsid w:val="00B95B67"/>
    <w:rsid w:val="00B95DA0"/>
    <w:rsid w:val="00B95FE6"/>
    <w:rsid w:val="00B963C1"/>
    <w:rsid w:val="00B964CD"/>
    <w:rsid w:val="00B9676B"/>
    <w:rsid w:val="00B96829"/>
    <w:rsid w:val="00B97394"/>
    <w:rsid w:val="00B974B0"/>
    <w:rsid w:val="00BA06AC"/>
    <w:rsid w:val="00BA2280"/>
    <w:rsid w:val="00BA26CB"/>
    <w:rsid w:val="00BA2A08"/>
    <w:rsid w:val="00BA2BC0"/>
    <w:rsid w:val="00BA2F3D"/>
    <w:rsid w:val="00BA30B5"/>
    <w:rsid w:val="00BA3108"/>
    <w:rsid w:val="00BA3189"/>
    <w:rsid w:val="00BA34A1"/>
    <w:rsid w:val="00BA3700"/>
    <w:rsid w:val="00BA3F8E"/>
    <w:rsid w:val="00BA417D"/>
    <w:rsid w:val="00BA42D5"/>
    <w:rsid w:val="00BA43F2"/>
    <w:rsid w:val="00BA4461"/>
    <w:rsid w:val="00BA4DF0"/>
    <w:rsid w:val="00BA4FC9"/>
    <w:rsid w:val="00BA5696"/>
    <w:rsid w:val="00BA56D2"/>
    <w:rsid w:val="00BA57E5"/>
    <w:rsid w:val="00BA6005"/>
    <w:rsid w:val="00BA6125"/>
    <w:rsid w:val="00BA61F5"/>
    <w:rsid w:val="00BA6274"/>
    <w:rsid w:val="00BA76E0"/>
    <w:rsid w:val="00BA7CA7"/>
    <w:rsid w:val="00BB0694"/>
    <w:rsid w:val="00BB06B6"/>
    <w:rsid w:val="00BB08D5"/>
    <w:rsid w:val="00BB0997"/>
    <w:rsid w:val="00BB1B3D"/>
    <w:rsid w:val="00BB2A25"/>
    <w:rsid w:val="00BB35CB"/>
    <w:rsid w:val="00BB3A01"/>
    <w:rsid w:val="00BB3D1E"/>
    <w:rsid w:val="00BB3D55"/>
    <w:rsid w:val="00BB4E7C"/>
    <w:rsid w:val="00BB51E9"/>
    <w:rsid w:val="00BB5D0F"/>
    <w:rsid w:val="00BB6CFE"/>
    <w:rsid w:val="00BB761F"/>
    <w:rsid w:val="00BB76C2"/>
    <w:rsid w:val="00BB7772"/>
    <w:rsid w:val="00BC001D"/>
    <w:rsid w:val="00BC0FDC"/>
    <w:rsid w:val="00BC1701"/>
    <w:rsid w:val="00BC22A4"/>
    <w:rsid w:val="00BC3053"/>
    <w:rsid w:val="00BC30B5"/>
    <w:rsid w:val="00BC3B0F"/>
    <w:rsid w:val="00BC3BEA"/>
    <w:rsid w:val="00BC42A1"/>
    <w:rsid w:val="00BC4D2E"/>
    <w:rsid w:val="00BC502A"/>
    <w:rsid w:val="00BC5B33"/>
    <w:rsid w:val="00BC5CBD"/>
    <w:rsid w:val="00BC6295"/>
    <w:rsid w:val="00BC6371"/>
    <w:rsid w:val="00BC6CB6"/>
    <w:rsid w:val="00BC6FC3"/>
    <w:rsid w:val="00BC7102"/>
    <w:rsid w:val="00BC7B3C"/>
    <w:rsid w:val="00BC7E3A"/>
    <w:rsid w:val="00BC7F59"/>
    <w:rsid w:val="00BD059B"/>
    <w:rsid w:val="00BD05F3"/>
    <w:rsid w:val="00BD0781"/>
    <w:rsid w:val="00BD0A4F"/>
    <w:rsid w:val="00BD0B07"/>
    <w:rsid w:val="00BD133A"/>
    <w:rsid w:val="00BD1559"/>
    <w:rsid w:val="00BD1C9A"/>
    <w:rsid w:val="00BD3109"/>
    <w:rsid w:val="00BD3AB3"/>
    <w:rsid w:val="00BD4762"/>
    <w:rsid w:val="00BD48AC"/>
    <w:rsid w:val="00BD4B4C"/>
    <w:rsid w:val="00BD5F1A"/>
    <w:rsid w:val="00BD64CC"/>
    <w:rsid w:val="00BD6766"/>
    <w:rsid w:val="00BD6AF0"/>
    <w:rsid w:val="00BD6B72"/>
    <w:rsid w:val="00BD75E9"/>
    <w:rsid w:val="00BE0348"/>
    <w:rsid w:val="00BE1234"/>
    <w:rsid w:val="00BE144E"/>
    <w:rsid w:val="00BE1494"/>
    <w:rsid w:val="00BE14DA"/>
    <w:rsid w:val="00BE1FEA"/>
    <w:rsid w:val="00BE2D4C"/>
    <w:rsid w:val="00BE2FA6"/>
    <w:rsid w:val="00BE319B"/>
    <w:rsid w:val="00BE333F"/>
    <w:rsid w:val="00BE3789"/>
    <w:rsid w:val="00BE3A02"/>
    <w:rsid w:val="00BE4B58"/>
    <w:rsid w:val="00BE583B"/>
    <w:rsid w:val="00BE5B26"/>
    <w:rsid w:val="00BE66F4"/>
    <w:rsid w:val="00BE70C3"/>
    <w:rsid w:val="00BE7406"/>
    <w:rsid w:val="00BE7603"/>
    <w:rsid w:val="00BE7675"/>
    <w:rsid w:val="00BE77B5"/>
    <w:rsid w:val="00BF03C8"/>
    <w:rsid w:val="00BF0890"/>
    <w:rsid w:val="00BF0F52"/>
    <w:rsid w:val="00BF15BE"/>
    <w:rsid w:val="00BF15D9"/>
    <w:rsid w:val="00BF1A20"/>
    <w:rsid w:val="00BF2803"/>
    <w:rsid w:val="00BF3061"/>
    <w:rsid w:val="00BF3279"/>
    <w:rsid w:val="00BF3744"/>
    <w:rsid w:val="00BF393F"/>
    <w:rsid w:val="00BF3AA5"/>
    <w:rsid w:val="00BF3BFB"/>
    <w:rsid w:val="00BF3E05"/>
    <w:rsid w:val="00BF4003"/>
    <w:rsid w:val="00BF4159"/>
    <w:rsid w:val="00BF43DA"/>
    <w:rsid w:val="00BF46FC"/>
    <w:rsid w:val="00BF4955"/>
    <w:rsid w:val="00BF4CA9"/>
    <w:rsid w:val="00BF4D3C"/>
    <w:rsid w:val="00BF4E52"/>
    <w:rsid w:val="00BF5921"/>
    <w:rsid w:val="00BF59AD"/>
    <w:rsid w:val="00BF6837"/>
    <w:rsid w:val="00BF6CB2"/>
    <w:rsid w:val="00BF74C7"/>
    <w:rsid w:val="00BF7558"/>
    <w:rsid w:val="00BF76E5"/>
    <w:rsid w:val="00C001B2"/>
    <w:rsid w:val="00C00BED"/>
    <w:rsid w:val="00C00C0C"/>
    <w:rsid w:val="00C015F1"/>
    <w:rsid w:val="00C01F33"/>
    <w:rsid w:val="00C027D3"/>
    <w:rsid w:val="00C02CC6"/>
    <w:rsid w:val="00C02D4E"/>
    <w:rsid w:val="00C02F19"/>
    <w:rsid w:val="00C035EF"/>
    <w:rsid w:val="00C03B38"/>
    <w:rsid w:val="00C03C3A"/>
    <w:rsid w:val="00C040F7"/>
    <w:rsid w:val="00C044AB"/>
    <w:rsid w:val="00C047C4"/>
    <w:rsid w:val="00C04E8F"/>
    <w:rsid w:val="00C05539"/>
    <w:rsid w:val="00C056AE"/>
    <w:rsid w:val="00C05706"/>
    <w:rsid w:val="00C05FD7"/>
    <w:rsid w:val="00C06286"/>
    <w:rsid w:val="00C0669A"/>
    <w:rsid w:val="00C06BB0"/>
    <w:rsid w:val="00C0704B"/>
    <w:rsid w:val="00C0723C"/>
    <w:rsid w:val="00C07377"/>
    <w:rsid w:val="00C07BA0"/>
    <w:rsid w:val="00C07C33"/>
    <w:rsid w:val="00C07D7F"/>
    <w:rsid w:val="00C102F5"/>
    <w:rsid w:val="00C10478"/>
    <w:rsid w:val="00C10C84"/>
    <w:rsid w:val="00C11080"/>
    <w:rsid w:val="00C114F3"/>
    <w:rsid w:val="00C11F05"/>
    <w:rsid w:val="00C12107"/>
    <w:rsid w:val="00C123FA"/>
    <w:rsid w:val="00C127B1"/>
    <w:rsid w:val="00C12BA5"/>
    <w:rsid w:val="00C136D7"/>
    <w:rsid w:val="00C1383F"/>
    <w:rsid w:val="00C1385C"/>
    <w:rsid w:val="00C13B02"/>
    <w:rsid w:val="00C13B51"/>
    <w:rsid w:val="00C143A3"/>
    <w:rsid w:val="00C14419"/>
    <w:rsid w:val="00C144A3"/>
    <w:rsid w:val="00C14D4B"/>
    <w:rsid w:val="00C15037"/>
    <w:rsid w:val="00C154BB"/>
    <w:rsid w:val="00C15873"/>
    <w:rsid w:val="00C15D69"/>
    <w:rsid w:val="00C15DEB"/>
    <w:rsid w:val="00C16831"/>
    <w:rsid w:val="00C1789D"/>
    <w:rsid w:val="00C178B6"/>
    <w:rsid w:val="00C17940"/>
    <w:rsid w:val="00C17969"/>
    <w:rsid w:val="00C2001E"/>
    <w:rsid w:val="00C2059B"/>
    <w:rsid w:val="00C207D9"/>
    <w:rsid w:val="00C208D8"/>
    <w:rsid w:val="00C20F86"/>
    <w:rsid w:val="00C226A2"/>
    <w:rsid w:val="00C22D27"/>
    <w:rsid w:val="00C235AA"/>
    <w:rsid w:val="00C235D3"/>
    <w:rsid w:val="00C23865"/>
    <w:rsid w:val="00C239E6"/>
    <w:rsid w:val="00C23AA8"/>
    <w:rsid w:val="00C2406E"/>
    <w:rsid w:val="00C24611"/>
    <w:rsid w:val="00C24817"/>
    <w:rsid w:val="00C24B7E"/>
    <w:rsid w:val="00C250CA"/>
    <w:rsid w:val="00C254BA"/>
    <w:rsid w:val="00C25537"/>
    <w:rsid w:val="00C25570"/>
    <w:rsid w:val="00C2583F"/>
    <w:rsid w:val="00C2623A"/>
    <w:rsid w:val="00C26805"/>
    <w:rsid w:val="00C268E6"/>
    <w:rsid w:val="00C26F9F"/>
    <w:rsid w:val="00C2721C"/>
    <w:rsid w:val="00C279B5"/>
    <w:rsid w:val="00C27C45"/>
    <w:rsid w:val="00C27EBC"/>
    <w:rsid w:val="00C30019"/>
    <w:rsid w:val="00C3004C"/>
    <w:rsid w:val="00C309B2"/>
    <w:rsid w:val="00C31B74"/>
    <w:rsid w:val="00C3228F"/>
    <w:rsid w:val="00C32579"/>
    <w:rsid w:val="00C32FC7"/>
    <w:rsid w:val="00C3300A"/>
    <w:rsid w:val="00C33425"/>
    <w:rsid w:val="00C338AA"/>
    <w:rsid w:val="00C33C32"/>
    <w:rsid w:val="00C34D75"/>
    <w:rsid w:val="00C350DE"/>
    <w:rsid w:val="00C35A98"/>
    <w:rsid w:val="00C36162"/>
    <w:rsid w:val="00C36442"/>
    <w:rsid w:val="00C36523"/>
    <w:rsid w:val="00C367F0"/>
    <w:rsid w:val="00C36861"/>
    <w:rsid w:val="00C3719D"/>
    <w:rsid w:val="00C373A8"/>
    <w:rsid w:val="00C3764C"/>
    <w:rsid w:val="00C37CB2"/>
    <w:rsid w:val="00C406CD"/>
    <w:rsid w:val="00C40899"/>
    <w:rsid w:val="00C40ED3"/>
    <w:rsid w:val="00C4144C"/>
    <w:rsid w:val="00C41586"/>
    <w:rsid w:val="00C4200F"/>
    <w:rsid w:val="00C4285E"/>
    <w:rsid w:val="00C436FD"/>
    <w:rsid w:val="00C439FD"/>
    <w:rsid w:val="00C44502"/>
    <w:rsid w:val="00C447B0"/>
    <w:rsid w:val="00C44843"/>
    <w:rsid w:val="00C44BB8"/>
    <w:rsid w:val="00C457CD"/>
    <w:rsid w:val="00C46CDE"/>
    <w:rsid w:val="00C46D0D"/>
    <w:rsid w:val="00C47031"/>
    <w:rsid w:val="00C473A5"/>
    <w:rsid w:val="00C50713"/>
    <w:rsid w:val="00C508EF"/>
    <w:rsid w:val="00C51D06"/>
    <w:rsid w:val="00C52120"/>
    <w:rsid w:val="00C52425"/>
    <w:rsid w:val="00C528FA"/>
    <w:rsid w:val="00C52902"/>
    <w:rsid w:val="00C52F9C"/>
    <w:rsid w:val="00C53518"/>
    <w:rsid w:val="00C537D4"/>
    <w:rsid w:val="00C5397C"/>
    <w:rsid w:val="00C54256"/>
    <w:rsid w:val="00C54263"/>
    <w:rsid w:val="00C54995"/>
    <w:rsid w:val="00C54BCD"/>
    <w:rsid w:val="00C54D41"/>
    <w:rsid w:val="00C54E5B"/>
    <w:rsid w:val="00C55978"/>
    <w:rsid w:val="00C55A91"/>
    <w:rsid w:val="00C55BD4"/>
    <w:rsid w:val="00C55D36"/>
    <w:rsid w:val="00C57865"/>
    <w:rsid w:val="00C5788B"/>
    <w:rsid w:val="00C57B2A"/>
    <w:rsid w:val="00C60110"/>
    <w:rsid w:val="00C60783"/>
    <w:rsid w:val="00C60F16"/>
    <w:rsid w:val="00C6169C"/>
    <w:rsid w:val="00C618DA"/>
    <w:rsid w:val="00C619CE"/>
    <w:rsid w:val="00C61AB6"/>
    <w:rsid w:val="00C61FEB"/>
    <w:rsid w:val="00C620E2"/>
    <w:rsid w:val="00C621C1"/>
    <w:rsid w:val="00C625CA"/>
    <w:rsid w:val="00C625D1"/>
    <w:rsid w:val="00C62F5B"/>
    <w:rsid w:val="00C6339B"/>
    <w:rsid w:val="00C6344E"/>
    <w:rsid w:val="00C63614"/>
    <w:rsid w:val="00C64672"/>
    <w:rsid w:val="00C64B10"/>
    <w:rsid w:val="00C65C08"/>
    <w:rsid w:val="00C65FE6"/>
    <w:rsid w:val="00C66869"/>
    <w:rsid w:val="00C67B9A"/>
    <w:rsid w:val="00C70697"/>
    <w:rsid w:val="00C713D3"/>
    <w:rsid w:val="00C71CAA"/>
    <w:rsid w:val="00C72093"/>
    <w:rsid w:val="00C72D14"/>
    <w:rsid w:val="00C72EF4"/>
    <w:rsid w:val="00C73D6E"/>
    <w:rsid w:val="00C744FE"/>
    <w:rsid w:val="00C74795"/>
    <w:rsid w:val="00C74CB5"/>
    <w:rsid w:val="00C754A4"/>
    <w:rsid w:val="00C759A7"/>
    <w:rsid w:val="00C75D2F"/>
    <w:rsid w:val="00C75D63"/>
    <w:rsid w:val="00C75FE9"/>
    <w:rsid w:val="00C76113"/>
    <w:rsid w:val="00C761EB"/>
    <w:rsid w:val="00C767BE"/>
    <w:rsid w:val="00C76AD0"/>
    <w:rsid w:val="00C76D20"/>
    <w:rsid w:val="00C76D40"/>
    <w:rsid w:val="00C76D65"/>
    <w:rsid w:val="00C76E3C"/>
    <w:rsid w:val="00C76F70"/>
    <w:rsid w:val="00C7738D"/>
    <w:rsid w:val="00C802B1"/>
    <w:rsid w:val="00C803B6"/>
    <w:rsid w:val="00C80DAE"/>
    <w:rsid w:val="00C80E8B"/>
    <w:rsid w:val="00C80FA7"/>
    <w:rsid w:val="00C814F8"/>
    <w:rsid w:val="00C81568"/>
    <w:rsid w:val="00C817DA"/>
    <w:rsid w:val="00C817FC"/>
    <w:rsid w:val="00C81804"/>
    <w:rsid w:val="00C822B4"/>
    <w:rsid w:val="00C828BE"/>
    <w:rsid w:val="00C83DDF"/>
    <w:rsid w:val="00C84E43"/>
    <w:rsid w:val="00C85561"/>
    <w:rsid w:val="00C85DA5"/>
    <w:rsid w:val="00C85DEB"/>
    <w:rsid w:val="00C86229"/>
    <w:rsid w:val="00C8640D"/>
    <w:rsid w:val="00C8664A"/>
    <w:rsid w:val="00C9001C"/>
    <w:rsid w:val="00C90173"/>
    <w:rsid w:val="00C9027A"/>
    <w:rsid w:val="00C9062F"/>
    <w:rsid w:val="00C9068E"/>
    <w:rsid w:val="00C9080B"/>
    <w:rsid w:val="00C9088F"/>
    <w:rsid w:val="00C90A88"/>
    <w:rsid w:val="00C90B84"/>
    <w:rsid w:val="00C90CE3"/>
    <w:rsid w:val="00C90EC3"/>
    <w:rsid w:val="00C90FDA"/>
    <w:rsid w:val="00C91265"/>
    <w:rsid w:val="00C91290"/>
    <w:rsid w:val="00C91978"/>
    <w:rsid w:val="00C91A47"/>
    <w:rsid w:val="00C91BC5"/>
    <w:rsid w:val="00C91FFC"/>
    <w:rsid w:val="00C92582"/>
    <w:rsid w:val="00C92603"/>
    <w:rsid w:val="00C92D95"/>
    <w:rsid w:val="00C92DDB"/>
    <w:rsid w:val="00C93085"/>
    <w:rsid w:val="00C93467"/>
    <w:rsid w:val="00C93814"/>
    <w:rsid w:val="00C93C4B"/>
    <w:rsid w:val="00C93DB8"/>
    <w:rsid w:val="00C93E00"/>
    <w:rsid w:val="00C942C7"/>
    <w:rsid w:val="00C942D2"/>
    <w:rsid w:val="00C944AB"/>
    <w:rsid w:val="00C94794"/>
    <w:rsid w:val="00C94B4C"/>
    <w:rsid w:val="00C94C40"/>
    <w:rsid w:val="00C95015"/>
    <w:rsid w:val="00C951A5"/>
    <w:rsid w:val="00C9536C"/>
    <w:rsid w:val="00C9591A"/>
    <w:rsid w:val="00C959E7"/>
    <w:rsid w:val="00C95B40"/>
    <w:rsid w:val="00C95D1B"/>
    <w:rsid w:val="00CA0267"/>
    <w:rsid w:val="00CA0370"/>
    <w:rsid w:val="00CA0D7F"/>
    <w:rsid w:val="00CA0EA7"/>
    <w:rsid w:val="00CA0F9E"/>
    <w:rsid w:val="00CA1274"/>
    <w:rsid w:val="00CA1387"/>
    <w:rsid w:val="00CA1623"/>
    <w:rsid w:val="00CA1D94"/>
    <w:rsid w:val="00CA1ED8"/>
    <w:rsid w:val="00CA2625"/>
    <w:rsid w:val="00CA31BE"/>
    <w:rsid w:val="00CA46C9"/>
    <w:rsid w:val="00CA4839"/>
    <w:rsid w:val="00CA4C36"/>
    <w:rsid w:val="00CA57BF"/>
    <w:rsid w:val="00CA5CE0"/>
    <w:rsid w:val="00CA6612"/>
    <w:rsid w:val="00CA66D2"/>
    <w:rsid w:val="00CA6F6D"/>
    <w:rsid w:val="00CA78B3"/>
    <w:rsid w:val="00CA7909"/>
    <w:rsid w:val="00CB0924"/>
    <w:rsid w:val="00CB0CCF"/>
    <w:rsid w:val="00CB1D9A"/>
    <w:rsid w:val="00CB1DAF"/>
    <w:rsid w:val="00CB1ECE"/>
    <w:rsid w:val="00CB1F63"/>
    <w:rsid w:val="00CB2E01"/>
    <w:rsid w:val="00CB35FE"/>
    <w:rsid w:val="00CB3E14"/>
    <w:rsid w:val="00CB57D6"/>
    <w:rsid w:val="00CB596E"/>
    <w:rsid w:val="00CB5E9F"/>
    <w:rsid w:val="00CB670F"/>
    <w:rsid w:val="00CB6982"/>
    <w:rsid w:val="00CB6C2F"/>
    <w:rsid w:val="00CB6E2A"/>
    <w:rsid w:val="00CB7170"/>
    <w:rsid w:val="00CB71F5"/>
    <w:rsid w:val="00CB77D9"/>
    <w:rsid w:val="00CB7F48"/>
    <w:rsid w:val="00CB7FF0"/>
    <w:rsid w:val="00CC0092"/>
    <w:rsid w:val="00CC040E"/>
    <w:rsid w:val="00CC0F07"/>
    <w:rsid w:val="00CC111F"/>
    <w:rsid w:val="00CC13D3"/>
    <w:rsid w:val="00CC169D"/>
    <w:rsid w:val="00CC1936"/>
    <w:rsid w:val="00CC1C8E"/>
    <w:rsid w:val="00CC1E66"/>
    <w:rsid w:val="00CC1FE8"/>
    <w:rsid w:val="00CC2011"/>
    <w:rsid w:val="00CC2BB6"/>
    <w:rsid w:val="00CC326C"/>
    <w:rsid w:val="00CC3D03"/>
    <w:rsid w:val="00CC3EA0"/>
    <w:rsid w:val="00CC4368"/>
    <w:rsid w:val="00CC4502"/>
    <w:rsid w:val="00CC4B06"/>
    <w:rsid w:val="00CC55CB"/>
    <w:rsid w:val="00CC5A4A"/>
    <w:rsid w:val="00CC68FE"/>
    <w:rsid w:val="00CC6B9F"/>
    <w:rsid w:val="00CC6D2E"/>
    <w:rsid w:val="00CC6DE9"/>
    <w:rsid w:val="00CC7224"/>
    <w:rsid w:val="00CC7377"/>
    <w:rsid w:val="00CC7745"/>
    <w:rsid w:val="00CC7906"/>
    <w:rsid w:val="00CC7B45"/>
    <w:rsid w:val="00CD09C4"/>
    <w:rsid w:val="00CD0D44"/>
    <w:rsid w:val="00CD1188"/>
    <w:rsid w:val="00CD14B7"/>
    <w:rsid w:val="00CD1E58"/>
    <w:rsid w:val="00CD211A"/>
    <w:rsid w:val="00CD21EA"/>
    <w:rsid w:val="00CD2D7E"/>
    <w:rsid w:val="00CD2ED1"/>
    <w:rsid w:val="00CD30CB"/>
    <w:rsid w:val="00CD337B"/>
    <w:rsid w:val="00CD33DA"/>
    <w:rsid w:val="00CD3A0F"/>
    <w:rsid w:val="00CD3D0E"/>
    <w:rsid w:val="00CD4356"/>
    <w:rsid w:val="00CD4571"/>
    <w:rsid w:val="00CD4871"/>
    <w:rsid w:val="00CD5304"/>
    <w:rsid w:val="00CD6019"/>
    <w:rsid w:val="00CD6ACB"/>
    <w:rsid w:val="00CD6E44"/>
    <w:rsid w:val="00CE0424"/>
    <w:rsid w:val="00CE06D8"/>
    <w:rsid w:val="00CE1272"/>
    <w:rsid w:val="00CE17FC"/>
    <w:rsid w:val="00CE1C32"/>
    <w:rsid w:val="00CE2B9F"/>
    <w:rsid w:val="00CE2DB0"/>
    <w:rsid w:val="00CE3063"/>
    <w:rsid w:val="00CE3AAD"/>
    <w:rsid w:val="00CE3EC6"/>
    <w:rsid w:val="00CE4446"/>
    <w:rsid w:val="00CE60E0"/>
    <w:rsid w:val="00CE636F"/>
    <w:rsid w:val="00CE6DE8"/>
    <w:rsid w:val="00CE7561"/>
    <w:rsid w:val="00CF013C"/>
    <w:rsid w:val="00CF0146"/>
    <w:rsid w:val="00CF03DC"/>
    <w:rsid w:val="00CF1236"/>
    <w:rsid w:val="00CF1354"/>
    <w:rsid w:val="00CF155D"/>
    <w:rsid w:val="00CF17FE"/>
    <w:rsid w:val="00CF18E3"/>
    <w:rsid w:val="00CF1B1A"/>
    <w:rsid w:val="00CF1F8C"/>
    <w:rsid w:val="00CF21AE"/>
    <w:rsid w:val="00CF2AC0"/>
    <w:rsid w:val="00CF316C"/>
    <w:rsid w:val="00CF3213"/>
    <w:rsid w:val="00CF3546"/>
    <w:rsid w:val="00CF38EF"/>
    <w:rsid w:val="00CF3B1F"/>
    <w:rsid w:val="00CF3BF5"/>
    <w:rsid w:val="00CF3BF6"/>
    <w:rsid w:val="00CF4309"/>
    <w:rsid w:val="00CF49E9"/>
    <w:rsid w:val="00CF5C7E"/>
    <w:rsid w:val="00CF5EEF"/>
    <w:rsid w:val="00CF61C1"/>
    <w:rsid w:val="00CF625B"/>
    <w:rsid w:val="00CF687E"/>
    <w:rsid w:val="00CF69A3"/>
    <w:rsid w:val="00CF6ECD"/>
    <w:rsid w:val="00CF6F87"/>
    <w:rsid w:val="00CF7356"/>
    <w:rsid w:val="00CF76C3"/>
    <w:rsid w:val="00CF7B78"/>
    <w:rsid w:val="00D0013F"/>
    <w:rsid w:val="00D001F3"/>
    <w:rsid w:val="00D00716"/>
    <w:rsid w:val="00D00800"/>
    <w:rsid w:val="00D00A48"/>
    <w:rsid w:val="00D00C03"/>
    <w:rsid w:val="00D0100E"/>
    <w:rsid w:val="00D01913"/>
    <w:rsid w:val="00D019F6"/>
    <w:rsid w:val="00D01BB5"/>
    <w:rsid w:val="00D01DC5"/>
    <w:rsid w:val="00D01FBD"/>
    <w:rsid w:val="00D02959"/>
    <w:rsid w:val="00D02A18"/>
    <w:rsid w:val="00D02CFD"/>
    <w:rsid w:val="00D031F1"/>
    <w:rsid w:val="00D03250"/>
    <w:rsid w:val="00D0349B"/>
    <w:rsid w:val="00D0585B"/>
    <w:rsid w:val="00D07B3E"/>
    <w:rsid w:val="00D10249"/>
    <w:rsid w:val="00D10CAD"/>
    <w:rsid w:val="00D11127"/>
    <w:rsid w:val="00D115C3"/>
    <w:rsid w:val="00D11897"/>
    <w:rsid w:val="00D11DA8"/>
    <w:rsid w:val="00D11F13"/>
    <w:rsid w:val="00D12A20"/>
    <w:rsid w:val="00D13135"/>
    <w:rsid w:val="00D132E9"/>
    <w:rsid w:val="00D13E4E"/>
    <w:rsid w:val="00D1400F"/>
    <w:rsid w:val="00D145DE"/>
    <w:rsid w:val="00D151DE"/>
    <w:rsid w:val="00D15B2D"/>
    <w:rsid w:val="00D16192"/>
    <w:rsid w:val="00D176DD"/>
    <w:rsid w:val="00D17783"/>
    <w:rsid w:val="00D1795C"/>
    <w:rsid w:val="00D17CB4"/>
    <w:rsid w:val="00D17ECB"/>
    <w:rsid w:val="00D200EB"/>
    <w:rsid w:val="00D218D0"/>
    <w:rsid w:val="00D219E2"/>
    <w:rsid w:val="00D2223B"/>
    <w:rsid w:val="00D22268"/>
    <w:rsid w:val="00D22285"/>
    <w:rsid w:val="00D22653"/>
    <w:rsid w:val="00D22A2B"/>
    <w:rsid w:val="00D22B42"/>
    <w:rsid w:val="00D237B8"/>
    <w:rsid w:val="00D23821"/>
    <w:rsid w:val="00D23966"/>
    <w:rsid w:val="00D2399E"/>
    <w:rsid w:val="00D239A7"/>
    <w:rsid w:val="00D23A0D"/>
    <w:rsid w:val="00D23F47"/>
    <w:rsid w:val="00D2505A"/>
    <w:rsid w:val="00D25194"/>
    <w:rsid w:val="00D259A4"/>
    <w:rsid w:val="00D259B2"/>
    <w:rsid w:val="00D25BC5"/>
    <w:rsid w:val="00D25CA3"/>
    <w:rsid w:val="00D266DA"/>
    <w:rsid w:val="00D27BA2"/>
    <w:rsid w:val="00D27D29"/>
    <w:rsid w:val="00D27FEB"/>
    <w:rsid w:val="00D30006"/>
    <w:rsid w:val="00D30C3C"/>
    <w:rsid w:val="00D31071"/>
    <w:rsid w:val="00D313E8"/>
    <w:rsid w:val="00D31495"/>
    <w:rsid w:val="00D31CAF"/>
    <w:rsid w:val="00D32519"/>
    <w:rsid w:val="00D32C1E"/>
    <w:rsid w:val="00D32FD8"/>
    <w:rsid w:val="00D331EC"/>
    <w:rsid w:val="00D33542"/>
    <w:rsid w:val="00D335E8"/>
    <w:rsid w:val="00D336A3"/>
    <w:rsid w:val="00D338AC"/>
    <w:rsid w:val="00D33BE9"/>
    <w:rsid w:val="00D34B58"/>
    <w:rsid w:val="00D35826"/>
    <w:rsid w:val="00D35913"/>
    <w:rsid w:val="00D35A56"/>
    <w:rsid w:val="00D35C41"/>
    <w:rsid w:val="00D35F02"/>
    <w:rsid w:val="00D36381"/>
    <w:rsid w:val="00D36E71"/>
    <w:rsid w:val="00D36EEF"/>
    <w:rsid w:val="00D375D7"/>
    <w:rsid w:val="00D37968"/>
    <w:rsid w:val="00D37D87"/>
    <w:rsid w:val="00D40104"/>
    <w:rsid w:val="00D40389"/>
    <w:rsid w:val="00D40B33"/>
    <w:rsid w:val="00D40D64"/>
    <w:rsid w:val="00D41097"/>
    <w:rsid w:val="00D41359"/>
    <w:rsid w:val="00D41412"/>
    <w:rsid w:val="00D4231C"/>
    <w:rsid w:val="00D427CF"/>
    <w:rsid w:val="00D42B27"/>
    <w:rsid w:val="00D4318F"/>
    <w:rsid w:val="00D432AB"/>
    <w:rsid w:val="00D438BF"/>
    <w:rsid w:val="00D440F8"/>
    <w:rsid w:val="00D44150"/>
    <w:rsid w:val="00D443C4"/>
    <w:rsid w:val="00D44FE3"/>
    <w:rsid w:val="00D457FC"/>
    <w:rsid w:val="00D469B0"/>
    <w:rsid w:val="00D46F9D"/>
    <w:rsid w:val="00D474BE"/>
    <w:rsid w:val="00D5148B"/>
    <w:rsid w:val="00D53379"/>
    <w:rsid w:val="00D5387A"/>
    <w:rsid w:val="00D53E8A"/>
    <w:rsid w:val="00D53F1B"/>
    <w:rsid w:val="00D5429E"/>
    <w:rsid w:val="00D546FF"/>
    <w:rsid w:val="00D54D90"/>
    <w:rsid w:val="00D550FB"/>
    <w:rsid w:val="00D55208"/>
    <w:rsid w:val="00D55424"/>
    <w:rsid w:val="00D55750"/>
    <w:rsid w:val="00D55AD5"/>
    <w:rsid w:val="00D55AEF"/>
    <w:rsid w:val="00D55B83"/>
    <w:rsid w:val="00D5646A"/>
    <w:rsid w:val="00D56B0B"/>
    <w:rsid w:val="00D56B88"/>
    <w:rsid w:val="00D5740A"/>
    <w:rsid w:val="00D5758E"/>
    <w:rsid w:val="00D576CA"/>
    <w:rsid w:val="00D576E9"/>
    <w:rsid w:val="00D57E81"/>
    <w:rsid w:val="00D60053"/>
    <w:rsid w:val="00D6010B"/>
    <w:rsid w:val="00D603D1"/>
    <w:rsid w:val="00D60A25"/>
    <w:rsid w:val="00D60CBD"/>
    <w:rsid w:val="00D61046"/>
    <w:rsid w:val="00D6154F"/>
    <w:rsid w:val="00D61AF5"/>
    <w:rsid w:val="00D625AB"/>
    <w:rsid w:val="00D62654"/>
    <w:rsid w:val="00D62710"/>
    <w:rsid w:val="00D62963"/>
    <w:rsid w:val="00D62C8B"/>
    <w:rsid w:val="00D62FCC"/>
    <w:rsid w:val="00D651F7"/>
    <w:rsid w:val="00D652B5"/>
    <w:rsid w:val="00D653D4"/>
    <w:rsid w:val="00D65809"/>
    <w:rsid w:val="00D65F56"/>
    <w:rsid w:val="00D65F7D"/>
    <w:rsid w:val="00D66128"/>
    <w:rsid w:val="00D66155"/>
    <w:rsid w:val="00D66186"/>
    <w:rsid w:val="00D66723"/>
    <w:rsid w:val="00D66811"/>
    <w:rsid w:val="00D66DFB"/>
    <w:rsid w:val="00D66E61"/>
    <w:rsid w:val="00D67137"/>
    <w:rsid w:val="00D67F2B"/>
    <w:rsid w:val="00D7005C"/>
    <w:rsid w:val="00D70076"/>
    <w:rsid w:val="00D7089F"/>
    <w:rsid w:val="00D708B0"/>
    <w:rsid w:val="00D71018"/>
    <w:rsid w:val="00D71339"/>
    <w:rsid w:val="00D71652"/>
    <w:rsid w:val="00D71910"/>
    <w:rsid w:val="00D72433"/>
    <w:rsid w:val="00D72919"/>
    <w:rsid w:val="00D72B58"/>
    <w:rsid w:val="00D7374F"/>
    <w:rsid w:val="00D73D24"/>
    <w:rsid w:val="00D74A67"/>
    <w:rsid w:val="00D74E6B"/>
    <w:rsid w:val="00D752A3"/>
    <w:rsid w:val="00D774D0"/>
    <w:rsid w:val="00D774D1"/>
    <w:rsid w:val="00D77953"/>
    <w:rsid w:val="00D77966"/>
    <w:rsid w:val="00D77B1D"/>
    <w:rsid w:val="00D80111"/>
    <w:rsid w:val="00D8021F"/>
    <w:rsid w:val="00D80383"/>
    <w:rsid w:val="00D80AD1"/>
    <w:rsid w:val="00D810AA"/>
    <w:rsid w:val="00D81210"/>
    <w:rsid w:val="00D81355"/>
    <w:rsid w:val="00D819B0"/>
    <w:rsid w:val="00D823C6"/>
    <w:rsid w:val="00D826CC"/>
    <w:rsid w:val="00D82ECC"/>
    <w:rsid w:val="00D8303E"/>
    <w:rsid w:val="00D8327F"/>
    <w:rsid w:val="00D833C7"/>
    <w:rsid w:val="00D836DD"/>
    <w:rsid w:val="00D83770"/>
    <w:rsid w:val="00D837B7"/>
    <w:rsid w:val="00D83B33"/>
    <w:rsid w:val="00D83E4A"/>
    <w:rsid w:val="00D840FE"/>
    <w:rsid w:val="00D84676"/>
    <w:rsid w:val="00D84C22"/>
    <w:rsid w:val="00D8591F"/>
    <w:rsid w:val="00D86024"/>
    <w:rsid w:val="00D861EC"/>
    <w:rsid w:val="00D86511"/>
    <w:rsid w:val="00D8660C"/>
    <w:rsid w:val="00D866F7"/>
    <w:rsid w:val="00D86762"/>
    <w:rsid w:val="00D86CA3"/>
    <w:rsid w:val="00D86F8D"/>
    <w:rsid w:val="00D871CE"/>
    <w:rsid w:val="00D876A1"/>
    <w:rsid w:val="00D876AC"/>
    <w:rsid w:val="00D87A75"/>
    <w:rsid w:val="00D909CA"/>
    <w:rsid w:val="00D910FC"/>
    <w:rsid w:val="00D9196D"/>
    <w:rsid w:val="00D91C4D"/>
    <w:rsid w:val="00D91D44"/>
    <w:rsid w:val="00D91D82"/>
    <w:rsid w:val="00D92243"/>
    <w:rsid w:val="00D92385"/>
    <w:rsid w:val="00D924C7"/>
    <w:rsid w:val="00D9268F"/>
    <w:rsid w:val="00D92796"/>
    <w:rsid w:val="00D92982"/>
    <w:rsid w:val="00D92DF3"/>
    <w:rsid w:val="00D92EFA"/>
    <w:rsid w:val="00D930AD"/>
    <w:rsid w:val="00D9350C"/>
    <w:rsid w:val="00D93584"/>
    <w:rsid w:val="00D93880"/>
    <w:rsid w:val="00D938EB"/>
    <w:rsid w:val="00D93AED"/>
    <w:rsid w:val="00D9476F"/>
    <w:rsid w:val="00D94A66"/>
    <w:rsid w:val="00D94FFB"/>
    <w:rsid w:val="00D95007"/>
    <w:rsid w:val="00D9511C"/>
    <w:rsid w:val="00D954D2"/>
    <w:rsid w:val="00D95612"/>
    <w:rsid w:val="00D963FB"/>
    <w:rsid w:val="00D96531"/>
    <w:rsid w:val="00D9657A"/>
    <w:rsid w:val="00D96C9E"/>
    <w:rsid w:val="00D972C2"/>
    <w:rsid w:val="00D9769A"/>
    <w:rsid w:val="00D97829"/>
    <w:rsid w:val="00D97CEA"/>
    <w:rsid w:val="00DA0EDE"/>
    <w:rsid w:val="00DA10E7"/>
    <w:rsid w:val="00DA1718"/>
    <w:rsid w:val="00DA194A"/>
    <w:rsid w:val="00DA2175"/>
    <w:rsid w:val="00DA246D"/>
    <w:rsid w:val="00DA2472"/>
    <w:rsid w:val="00DA282D"/>
    <w:rsid w:val="00DA305E"/>
    <w:rsid w:val="00DA3DB4"/>
    <w:rsid w:val="00DA4174"/>
    <w:rsid w:val="00DA4A1F"/>
    <w:rsid w:val="00DA4C5B"/>
    <w:rsid w:val="00DA513C"/>
    <w:rsid w:val="00DA5417"/>
    <w:rsid w:val="00DA56E8"/>
    <w:rsid w:val="00DA64EF"/>
    <w:rsid w:val="00DA7588"/>
    <w:rsid w:val="00DA76AA"/>
    <w:rsid w:val="00DA7B59"/>
    <w:rsid w:val="00DA7DA1"/>
    <w:rsid w:val="00DB05D7"/>
    <w:rsid w:val="00DB0A9F"/>
    <w:rsid w:val="00DB0DE8"/>
    <w:rsid w:val="00DB1335"/>
    <w:rsid w:val="00DB169E"/>
    <w:rsid w:val="00DB1965"/>
    <w:rsid w:val="00DB1F53"/>
    <w:rsid w:val="00DB1F67"/>
    <w:rsid w:val="00DB2060"/>
    <w:rsid w:val="00DB2226"/>
    <w:rsid w:val="00DB2669"/>
    <w:rsid w:val="00DB2C41"/>
    <w:rsid w:val="00DB333A"/>
    <w:rsid w:val="00DB3388"/>
    <w:rsid w:val="00DB377D"/>
    <w:rsid w:val="00DB3BC3"/>
    <w:rsid w:val="00DB47D8"/>
    <w:rsid w:val="00DB489C"/>
    <w:rsid w:val="00DB4B6F"/>
    <w:rsid w:val="00DB5061"/>
    <w:rsid w:val="00DB519F"/>
    <w:rsid w:val="00DB5910"/>
    <w:rsid w:val="00DB5A0A"/>
    <w:rsid w:val="00DB5A0F"/>
    <w:rsid w:val="00DB5E30"/>
    <w:rsid w:val="00DB5FF6"/>
    <w:rsid w:val="00DB6505"/>
    <w:rsid w:val="00DB6C6A"/>
    <w:rsid w:val="00DC00CB"/>
    <w:rsid w:val="00DC08C7"/>
    <w:rsid w:val="00DC0C75"/>
    <w:rsid w:val="00DC1359"/>
    <w:rsid w:val="00DC1363"/>
    <w:rsid w:val="00DC1C55"/>
    <w:rsid w:val="00DC221C"/>
    <w:rsid w:val="00DC23F6"/>
    <w:rsid w:val="00DC25E5"/>
    <w:rsid w:val="00DC295B"/>
    <w:rsid w:val="00DC2A36"/>
    <w:rsid w:val="00DC2D36"/>
    <w:rsid w:val="00DC3CF0"/>
    <w:rsid w:val="00DC5325"/>
    <w:rsid w:val="00DC53EF"/>
    <w:rsid w:val="00DC5AF6"/>
    <w:rsid w:val="00DC5FFA"/>
    <w:rsid w:val="00DC6FB9"/>
    <w:rsid w:val="00DC7568"/>
    <w:rsid w:val="00DC75AC"/>
    <w:rsid w:val="00DD015D"/>
    <w:rsid w:val="00DD03BA"/>
    <w:rsid w:val="00DD0928"/>
    <w:rsid w:val="00DD0E6D"/>
    <w:rsid w:val="00DD1698"/>
    <w:rsid w:val="00DD17E7"/>
    <w:rsid w:val="00DD1D18"/>
    <w:rsid w:val="00DD1D85"/>
    <w:rsid w:val="00DD1EDA"/>
    <w:rsid w:val="00DD20C0"/>
    <w:rsid w:val="00DD2350"/>
    <w:rsid w:val="00DD2FD1"/>
    <w:rsid w:val="00DD2FD4"/>
    <w:rsid w:val="00DD30AB"/>
    <w:rsid w:val="00DD33CB"/>
    <w:rsid w:val="00DD36B1"/>
    <w:rsid w:val="00DD3F63"/>
    <w:rsid w:val="00DD4CF4"/>
    <w:rsid w:val="00DD4D3E"/>
    <w:rsid w:val="00DD521D"/>
    <w:rsid w:val="00DD5DBD"/>
    <w:rsid w:val="00DD674B"/>
    <w:rsid w:val="00DD6757"/>
    <w:rsid w:val="00DD6ABB"/>
    <w:rsid w:val="00DD7751"/>
    <w:rsid w:val="00DD7773"/>
    <w:rsid w:val="00DD798E"/>
    <w:rsid w:val="00DD7A3E"/>
    <w:rsid w:val="00DD7D27"/>
    <w:rsid w:val="00DE021D"/>
    <w:rsid w:val="00DE0699"/>
    <w:rsid w:val="00DE0A6D"/>
    <w:rsid w:val="00DE1143"/>
    <w:rsid w:val="00DE1928"/>
    <w:rsid w:val="00DE2546"/>
    <w:rsid w:val="00DE29CA"/>
    <w:rsid w:val="00DE2E94"/>
    <w:rsid w:val="00DE4175"/>
    <w:rsid w:val="00DE444D"/>
    <w:rsid w:val="00DE46B5"/>
    <w:rsid w:val="00DE4C7E"/>
    <w:rsid w:val="00DE55AD"/>
    <w:rsid w:val="00DE5608"/>
    <w:rsid w:val="00DE577A"/>
    <w:rsid w:val="00DE58D0"/>
    <w:rsid w:val="00DE5E1C"/>
    <w:rsid w:val="00DE5E9D"/>
    <w:rsid w:val="00DE6106"/>
    <w:rsid w:val="00DE645E"/>
    <w:rsid w:val="00DE654F"/>
    <w:rsid w:val="00DE6565"/>
    <w:rsid w:val="00DE658D"/>
    <w:rsid w:val="00DE698F"/>
    <w:rsid w:val="00DE707A"/>
    <w:rsid w:val="00DE71F7"/>
    <w:rsid w:val="00DE754E"/>
    <w:rsid w:val="00DE7C14"/>
    <w:rsid w:val="00DE7EF9"/>
    <w:rsid w:val="00DF06D8"/>
    <w:rsid w:val="00DF06EB"/>
    <w:rsid w:val="00DF0A62"/>
    <w:rsid w:val="00DF0B44"/>
    <w:rsid w:val="00DF0B6E"/>
    <w:rsid w:val="00DF0BB9"/>
    <w:rsid w:val="00DF124D"/>
    <w:rsid w:val="00DF147B"/>
    <w:rsid w:val="00DF15E0"/>
    <w:rsid w:val="00DF19EB"/>
    <w:rsid w:val="00DF1A00"/>
    <w:rsid w:val="00DF2108"/>
    <w:rsid w:val="00DF2191"/>
    <w:rsid w:val="00DF2282"/>
    <w:rsid w:val="00DF22E5"/>
    <w:rsid w:val="00DF2DBA"/>
    <w:rsid w:val="00DF2F73"/>
    <w:rsid w:val="00DF33A4"/>
    <w:rsid w:val="00DF37A0"/>
    <w:rsid w:val="00DF3E44"/>
    <w:rsid w:val="00DF4039"/>
    <w:rsid w:val="00DF42E4"/>
    <w:rsid w:val="00DF43C0"/>
    <w:rsid w:val="00DF4FB6"/>
    <w:rsid w:val="00DF52F4"/>
    <w:rsid w:val="00DF54E7"/>
    <w:rsid w:val="00DF56EB"/>
    <w:rsid w:val="00DF5E3D"/>
    <w:rsid w:val="00DF62B9"/>
    <w:rsid w:val="00DF63B7"/>
    <w:rsid w:val="00DF6E9A"/>
    <w:rsid w:val="00DF6F24"/>
    <w:rsid w:val="00DF71F9"/>
    <w:rsid w:val="00DF735F"/>
    <w:rsid w:val="00DF736C"/>
    <w:rsid w:val="00E00312"/>
    <w:rsid w:val="00E0058A"/>
    <w:rsid w:val="00E006AE"/>
    <w:rsid w:val="00E00812"/>
    <w:rsid w:val="00E01131"/>
    <w:rsid w:val="00E0194B"/>
    <w:rsid w:val="00E01E95"/>
    <w:rsid w:val="00E02704"/>
    <w:rsid w:val="00E0342A"/>
    <w:rsid w:val="00E03DA3"/>
    <w:rsid w:val="00E03FC3"/>
    <w:rsid w:val="00E04948"/>
    <w:rsid w:val="00E04D7B"/>
    <w:rsid w:val="00E050B2"/>
    <w:rsid w:val="00E057AC"/>
    <w:rsid w:val="00E06AE4"/>
    <w:rsid w:val="00E06E11"/>
    <w:rsid w:val="00E070D8"/>
    <w:rsid w:val="00E10370"/>
    <w:rsid w:val="00E1068A"/>
    <w:rsid w:val="00E10B86"/>
    <w:rsid w:val="00E10DCF"/>
    <w:rsid w:val="00E110E7"/>
    <w:rsid w:val="00E11B20"/>
    <w:rsid w:val="00E1249E"/>
    <w:rsid w:val="00E125E9"/>
    <w:rsid w:val="00E12BB7"/>
    <w:rsid w:val="00E12F69"/>
    <w:rsid w:val="00E133D3"/>
    <w:rsid w:val="00E13A00"/>
    <w:rsid w:val="00E13C0F"/>
    <w:rsid w:val="00E13E8A"/>
    <w:rsid w:val="00E15759"/>
    <w:rsid w:val="00E15859"/>
    <w:rsid w:val="00E159AA"/>
    <w:rsid w:val="00E15B43"/>
    <w:rsid w:val="00E15F55"/>
    <w:rsid w:val="00E16670"/>
    <w:rsid w:val="00E16696"/>
    <w:rsid w:val="00E16F51"/>
    <w:rsid w:val="00E17D68"/>
    <w:rsid w:val="00E17FA2"/>
    <w:rsid w:val="00E20682"/>
    <w:rsid w:val="00E20710"/>
    <w:rsid w:val="00E209A7"/>
    <w:rsid w:val="00E20DDD"/>
    <w:rsid w:val="00E20FF2"/>
    <w:rsid w:val="00E217BC"/>
    <w:rsid w:val="00E217EB"/>
    <w:rsid w:val="00E21C6F"/>
    <w:rsid w:val="00E21C99"/>
    <w:rsid w:val="00E22268"/>
    <w:rsid w:val="00E22330"/>
    <w:rsid w:val="00E22FC8"/>
    <w:rsid w:val="00E234EF"/>
    <w:rsid w:val="00E237F7"/>
    <w:rsid w:val="00E23DEB"/>
    <w:rsid w:val="00E24481"/>
    <w:rsid w:val="00E24DCB"/>
    <w:rsid w:val="00E25414"/>
    <w:rsid w:val="00E25907"/>
    <w:rsid w:val="00E25AE8"/>
    <w:rsid w:val="00E26012"/>
    <w:rsid w:val="00E2605D"/>
    <w:rsid w:val="00E2648E"/>
    <w:rsid w:val="00E26599"/>
    <w:rsid w:val="00E265FC"/>
    <w:rsid w:val="00E26BA8"/>
    <w:rsid w:val="00E27EE2"/>
    <w:rsid w:val="00E30B5A"/>
    <w:rsid w:val="00E3123D"/>
    <w:rsid w:val="00E313F2"/>
    <w:rsid w:val="00E31461"/>
    <w:rsid w:val="00E31CA7"/>
    <w:rsid w:val="00E31D43"/>
    <w:rsid w:val="00E324B4"/>
    <w:rsid w:val="00E32608"/>
    <w:rsid w:val="00E32F8B"/>
    <w:rsid w:val="00E3322E"/>
    <w:rsid w:val="00E334D5"/>
    <w:rsid w:val="00E337D7"/>
    <w:rsid w:val="00E340BE"/>
    <w:rsid w:val="00E34188"/>
    <w:rsid w:val="00E34B02"/>
    <w:rsid w:val="00E34B6E"/>
    <w:rsid w:val="00E34FF9"/>
    <w:rsid w:val="00E354B3"/>
    <w:rsid w:val="00E35559"/>
    <w:rsid w:val="00E3574E"/>
    <w:rsid w:val="00E36CAC"/>
    <w:rsid w:val="00E3723A"/>
    <w:rsid w:val="00E37629"/>
    <w:rsid w:val="00E37860"/>
    <w:rsid w:val="00E3797A"/>
    <w:rsid w:val="00E407A5"/>
    <w:rsid w:val="00E4143C"/>
    <w:rsid w:val="00E41C04"/>
    <w:rsid w:val="00E41E4A"/>
    <w:rsid w:val="00E422A2"/>
    <w:rsid w:val="00E429A2"/>
    <w:rsid w:val="00E42BC9"/>
    <w:rsid w:val="00E42E4D"/>
    <w:rsid w:val="00E4378C"/>
    <w:rsid w:val="00E43875"/>
    <w:rsid w:val="00E43D52"/>
    <w:rsid w:val="00E446F1"/>
    <w:rsid w:val="00E45B0E"/>
    <w:rsid w:val="00E4612D"/>
    <w:rsid w:val="00E4672A"/>
    <w:rsid w:val="00E46886"/>
    <w:rsid w:val="00E470B4"/>
    <w:rsid w:val="00E47232"/>
    <w:rsid w:val="00E47253"/>
    <w:rsid w:val="00E475AE"/>
    <w:rsid w:val="00E475D0"/>
    <w:rsid w:val="00E47AEF"/>
    <w:rsid w:val="00E47DF1"/>
    <w:rsid w:val="00E508D7"/>
    <w:rsid w:val="00E519C6"/>
    <w:rsid w:val="00E51B16"/>
    <w:rsid w:val="00E53902"/>
    <w:rsid w:val="00E53B75"/>
    <w:rsid w:val="00E540CD"/>
    <w:rsid w:val="00E54A55"/>
    <w:rsid w:val="00E54E3B"/>
    <w:rsid w:val="00E55098"/>
    <w:rsid w:val="00E555E1"/>
    <w:rsid w:val="00E556EB"/>
    <w:rsid w:val="00E55937"/>
    <w:rsid w:val="00E55EDB"/>
    <w:rsid w:val="00E5661D"/>
    <w:rsid w:val="00E566A7"/>
    <w:rsid w:val="00E568F4"/>
    <w:rsid w:val="00E56F42"/>
    <w:rsid w:val="00E57565"/>
    <w:rsid w:val="00E60194"/>
    <w:rsid w:val="00E609CC"/>
    <w:rsid w:val="00E60E19"/>
    <w:rsid w:val="00E614EF"/>
    <w:rsid w:val="00E61873"/>
    <w:rsid w:val="00E6272C"/>
    <w:rsid w:val="00E62F8F"/>
    <w:rsid w:val="00E63186"/>
    <w:rsid w:val="00E632DF"/>
    <w:rsid w:val="00E63838"/>
    <w:rsid w:val="00E63A58"/>
    <w:rsid w:val="00E63C8E"/>
    <w:rsid w:val="00E63D44"/>
    <w:rsid w:val="00E63DC9"/>
    <w:rsid w:val="00E642A5"/>
    <w:rsid w:val="00E64434"/>
    <w:rsid w:val="00E64909"/>
    <w:rsid w:val="00E6549F"/>
    <w:rsid w:val="00E65B05"/>
    <w:rsid w:val="00E65B94"/>
    <w:rsid w:val="00E661BA"/>
    <w:rsid w:val="00E664F2"/>
    <w:rsid w:val="00E67132"/>
    <w:rsid w:val="00E67830"/>
    <w:rsid w:val="00E67BDA"/>
    <w:rsid w:val="00E67C51"/>
    <w:rsid w:val="00E70C2D"/>
    <w:rsid w:val="00E70CA9"/>
    <w:rsid w:val="00E70D0C"/>
    <w:rsid w:val="00E71147"/>
    <w:rsid w:val="00E712A6"/>
    <w:rsid w:val="00E71CD3"/>
    <w:rsid w:val="00E71E6A"/>
    <w:rsid w:val="00E72708"/>
    <w:rsid w:val="00E72B96"/>
    <w:rsid w:val="00E72EFC"/>
    <w:rsid w:val="00E72F6B"/>
    <w:rsid w:val="00E72FD8"/>
    <w:rsid w:val="00E7318F"/>
    <w:rsid w:val="00E73E8F"/>
    <w:rsid w:val="00E73F2C"/>
    <w:rsid w:val="00E74140"/>
    <w:rsid w:val="00E756AA"/>
    <w:rsid w:val="00E758EC"/>
    <w:rsid w:val="00E75BA8"/>
    <w:rsid w:val="00E75CAA"/>
    <w:rsid w:val="00E75DD9"/>
    <w:rsid w:val="00E762E6"/>
    <w:rsid w:val="00E76AB0"/>
    <w:rsid w:val="00E76E72"/>
    <w:rsid w:val="00E76EB8"/>
    <w:rsid w:val="00E7746B"/>
    <w:rsid w:val="00E774BA"/>
    <w:rsid w:val="00E77B07"/>
    <w:rsid w:val="00E77D08"/>
    <w:rsid w:val="00E80048"/>
    <w:rsid w:val="00E80066"/>
    <w:rsid w:val="00E800F8"/>
    <w:rsid w:val="00E802B3"/>
    <w:rsid w:val="00E802EC"/>
    <w:rsid w:val="00E8038B"/>
    <w:rsid w:val="00E805AA"/>
    <w:rsid w:val="00E80DC2"/>
    <w:rsid w:val="00E81425"/>
    <w:rsid w:val="00E81498"/>
    <w:rsid w:val="00E81940"/>
    <w:rsid w:val="00E81F44"/>
    <w:rsid w:val="00E8211E"/>
    <w:rsid w:val="00E82309"/>
    <w:rsid w:val="00E8234C"/>
    <w:rsid w:val="00E82562"/>
    <w:rsid w:val="00E825A5"/>
    <w:rsid w:val="00E839A1"/>
    <w:rsid w:val="00E83AA9"/>
    <w:rsid w:val="00E83EAB"/>
    <w:rsid w:val="00E8413E"/>
    <w:rsid w:val="00E84762"/>
    <w:rsid w:val="00E849F2"/>
    <w:rsid w:val="00E84A03"/>
    <w:rsid w:val="00E84A27"/>
    <w:rsid w:val="00E85301"/>
    <w:rsid w:val="00E85535"/>
    <w:rsid w:val="00E856B0"/>
    <w:rsid w:val="00E85928"/>
    <w:rsid w:val="00E85D9B"/>
    <w:rsid w:val="00E85EE1"/>
    <w:rsid w:val="00E862E5"/>
    <w:rsid w:val="00E87822"/>
    <w:rsid w:val="00E87B7A"/>
    <w:rsid w:val="00E9007B"/>
    <w:rsid w:val="00E9026E"/>
    <w:rsid w:val="00E90394"/>
    <w:rsid w:val="00E90395"/>
    <w:rsid w:val="00E90E49"/>
    <w:rsid w:val="00E91322"/>
    <w:rsid w:val="00E916AB"/>
    <w:rsid w:val="00E917F9"/>
    <w:rsid w:val="00E91C7A"/>
    <w:rsid w:val="00E921F3"/>
    <w:rsid w:val="00E92686"/>
    <w:rsid w:val="00E9291C"/>
    <w:rsid w:val="00E92B66"/>
    <w:rsid w:val="00E92F14"/>
    <w:rsid w:val="00E937DA"/>
    <w:rsid w:val="00E938FB"/>
    <w:rsid w:val="00E93FFE"/>
    <w:rsid w:val="00E943AF"/>
    <w:rsid w:val="00E94E41"/>
    <w:rsid w:val="00E94F8A"/>
    <w:rsid w:val="00E95437"/>
    <w:rsid w:val="00E95458"/>
    <w:rsid w:val="00E95689"/>
    <w:rsid w:val="00E956DC"/>
    <w:rsid w:val="00E95E41"/>
    <w:rsid w:val="00E962C3"/>
    <w:rsid w:val="00E9793C"/>
    <w:rsid w:val="00E97A75"/>
    <w:rsid w:val="00E97E6A"/>
    <w:rsid w:val="00E97EAA"/>
    <w:rsid w:val="00EA007C"/>
    <w:rsid w:val="00EA0FD8"/>
    <w:rsid w:val="00EA1339"/>
    <w:rsid w:val="00EA15CA"/>
    <w:rsid w:val="00EA1815"/>
    <w:rsid w:val="00EA1C7A"/>
    <w:rsid w:val="00EA2455"/>
    <w:rsid w:val="00EA270B"/>
    <w:rsid w:val="00EA2732"/>
    <w:rsid w:val="00EA2ACB"/>
    <w:rsid w:val="00EA2E0F"/>
    <w:rsid w:val="00EA336B"/>
    <w:rsid w:val="00EA38F3"/>
    <w:rsid w:val="00EA3AA8"/>
    <w:rsid w:val="00EA3AB0"/>
    <w:rsid w:val="00EA3F0F"/>
    <w:rsid w:val="00EA4225"/>
    <w:rsid w:val="00EA4634"/>
    <w:rsid w:val="00EA56C0"/>
    <w:rsid w:val="00EA60E5"/>
    <w:rsid w:val="00EA6426"/>
    <w:rsid w:val="00EA6E62"/>
    <w:rsid w:val="00EA7132"/>
    <w:rsid w:val="00EA7593"/>
    <w:rsid w:val="00EA769F"/>
    <w:rsid w:val="00EA776B"/>
    <w:rsid w:val="00EA7857"/>
    <w:rsid w:val="00EA7A41"/>
    <w:rsid w:val="00EB077B"/>
    <w:rsid w:val="00EB0A6A"/>
    <w:rsid w:val="00EB1815"/>
    <w:rsid w:val="00EB254A"/>
    <w:rsid w:val="00EB2A88"/>
    <w:rsid w:val="00EB3047"/>
    <w:rsid w:val="00EB314C"/>
    <w:rsid w:val="00EB336B"/>
    <w:rsid w:val="00EB3710"/>
    <w:rsid w:val="00EB3901"/>
    <w:rsid w:val="00EB3E02"/>
    <w:rsid w:val="00EB4EA2"/>
    <w:rsid w:val="00EB540D"/>
    <w:rsid w:val="00EB5B53"/>
    <w:rsid w:val="00EB70E7"/>
    <w:rsid w:val="00EB712A"/>
    <w:rsid w:val="00EB75CC"/>
    <w:rsid w:val="00EB7653"/>
    <w:rsid w:val="00EB7A13"/>
    <w:rsid w:val="00EC0156"/>
    <w:rsid w:val="00EC031F"/>
    <w:rsid w:val="00EC06FA"/>
    <w:rsid w:val="00EC0BD8"/>
    <w:rsid w:val="00EC2161"/>
    <w:rsid w:val="00EC2483"/>
    <w:rsid w:val="00EC24D5"/>
    <w:rsid w:val="00EC26E1"/>
    <w:rsid w:val="00EC27C6"/>
    <w:rsid w:val="00EC30E7"/>
    <w:rsid w:val="00EC331A"/>
    <w:rsid w:val="00EC33E7"/>
    <w:rsid w:val="00EC3D4F"/>
    <w:rsid w:val="00EC4000"/>
    <w:rsid w:val="00EC4020"/>
    <w:rsid w:val="00EC4207"/>
    <w:rsid w:val="00EC4755"/>
    <w:rsid w:val="00EC4884"/>
    <w:rsid w:val="00EC4F21"/>
    <w:rsid w:val="00EC518E"/>
    <w:rsid w:val="00EC5653"/>
    <w:rsid w:val="00EC5DF9"/>
    <w:rsid w:val="00EC6CE6"/>
    <w:rsid w:val="00EC6FC4"/>
    <w:rsid w:val="00EC71CE"/>
    <w:rsid w:val="00EC7B1B"/>
    <w:rsid w:val="00EC7CDB"/>
    <w:rsid w:val="00ED098B"/>
    <w:rsid w:val="00ED0C36"/>
    <w:rsid w:val="00ED0F71"/>
    <w:rsid w:val="00ED1006"/>
    <w:rsid w:val="00ED170D"/>
    <w:rsid w:val="00ED1775"/>
    <w:rsid w:val="00ED17CA"/>
    <w:rsid w:val="00ED1D38"/>
    <w:rsid w:val="00ED20C1"/>
    <w:rsid w:val="00ED2812"/>
    <w:rsid w:val="00ED2B28"/>
    <w:rsid w:val="00ED2D5A"/>
    <w:rsid w:val="00ED3384"/>
    <w:rsid w:val="00ED342D"/>
    <w:rsid w:val="00ED3BF6"/>
    <w:rsid w:val="00ED3DF7"/>
    <w:rsid w:val="00ED4C60"/>
    <w:rsid w:val="00ED5259"/>
    <w:rsid w:val="00ED5575"/>
    <w:rsid w:val="00ED5B21"/>
    <w:rsid w:val="00ED6868"/>
    <w:rsid w:val="00ED6AFA"/>
    <w:rsid w:val="00ED7556"/>
    <w:rsid w:val="00ED7DB7"/>
    <w:rsid w:val="00EE08DF"/>
    <w:rsid w:val="00EE0AF5"/>
    <w:rsid w:val="00EE0CBD"/>
    <w:rsid w:val="00EE0F87"/>
    <w:rsid w:val="00EE1619"/>
    <w:rsid w:val="00EE17BD"/>
    <w:rsid w:val="00EE1D19"/>
    <w:rsid w:val="00EE1DA5"/>
    <w:rsid w:val="00EE24C9"/>
    <w:rsid w:val="00EE29BD"/>
    <w:rsid w:val="00EE3687"/>
    <w:rsid w:val="00EE3943"/>
    <w:rsid w:val="00EE4005"/>
    <w:rsid w:val="00EE408B"/>
    <w:rsid w:val="00EE4976"/>
    <w:rsid w:val="00EE5016"/>
    <w:rsid w:val="00EE5318"/>
    <w:rsid w:val="00EE565C"/>
    <w:rsid w:val="00EE5A6C"/>
    <w:rsid w:val="00EE5F44"/>
    <w:rsid w:val="00EE609E"/>
    <w:rsid w:val="00EE6ABD"/>
    <w:rsid w:val="00EE71DC"/>
    <w:rsid w:val="00EE724C"/>
    <w:rsid w:val="00EE7671"/>
    <w:rsid w:val="00EE7AF9"/>
    <w:rsid w:val="00EF0B21"/>
    <w:rsid w:val="00EF0B4A"/>
    <w:rsid w:val="00EF12DC"/>
    <w:rsid w:val="00EF13BC"/>
    <w:rsid w:val="00EF18FE"/>
    <w:rsid w:val="00EF1D19"/>
    <w:rsid w:val="00EF21EA"/>
    <w:rsid w:val="00EF2BDE"/>
    <w:rsid w:val="00EF2EAB"/>
    <w:rsid w:val="00EF352A"/>
    <w:rsid w:val="00EF390E"/>
    <w:rsid w:val="00EF3DEA"/>
    <w:rsid w:val="00EF3F04"/>
    <w:rsid w:val="00EF44B7"/>
    <w:rsid w:val="00EF46C7"/>
    <w:rsid w:val="00EF4A34"/>
    <w:rsid w:val="00EF4D02"/>
    <w:rsid w:val="00EF564C"/>
    <w:rsid w:val="00EF5787"/>
    <w:rsid w:val="00EF5986"/>
    <w:rsid w:val="00EF5B38"/>
    <w:rsid w:val="00EF5B8B"/>
    <w:rsid w:val="00EF60D0"/>
    <w:rsid w:val="00EF61A3"/>
    <w:rsid w:val="00EF6319"/>
    <w:rsid w:val="00EF6498"/>
    <w:rsid w:val="00EF6B81"/>
    <w:rsid w:val="00EF71B2"/>
    <w:rsid w:val="00EF7A15"/>
    <w:rsid w:val="00EF7B63"/>
    <w:rsid w:val="00F0086B"/>
    <w:rsid w:val="00F00F03"/>
    <w:rsid w:val="00F01084"/>
    <w:rsid w:val="00F01929"/>
    <w:rsid w:val="00F021A5"/>
    <w:rsid w:val="00F02CDC"/>
    <w:rsid w:val="00F02EDC"/>
    <w:rsid w:val="00F02F39"/>
    <w:rsid w:val="00F033B1"/>
    <w:rsid w:val="00F03AF8"/>
    <w:rsid w:val="00F03E45"/>
    <w:rsid w:val="00F03F94"/>
    <w:rsid w:val="00F0470D"/>
    <w:rsid w:val="00F051B2"/>
    <w:rsid w:val="00F051E5"/>
    <w:rsid w:val="00F0528D"/>
    <w:rsid w:val="00F05919"/>
    <w:rsid w:val="00F05CFA"/>
    <w:rsid w:val="00F060B8"/>
    <w:rsid w:val="00F065A2"/>
    <w:rsid w:val="00F06C67"/>
    <w:rsid w:val="00F06DFD"/>
    <w:rsid w:val="00F071D1"/>
    <w:rsid w:val="00F072AE"/>
    <w:rsid w:val="00F073CF"/>
    <w:rsid w:val="00F07533"/>
    <w:rsid w:val="00F07F38"/>
    <w:rsid w:val="00F10629"/>
    <w:rsid w:val="00F10B52"/>
    <w:rsid w:val="00F10C71"/>
    <w:rsid w:val="00F10D12"/>
    <w:rsid w:val="00F10D9F"/>
    <w:rsid w:val="00F113BC"/>
    <w:rsid w:val="00F11464"/>
    <w:rsid w:val="00F11639"/>
    <w:rsid w:val="00F12363"/>
    <w:rsid w:val="00F12566"/>
    <w:rsid w:val="00F12A55"/>
    <w:rsid w:val="00F132C7"/>
    <w:rsid w:val="00F135B5"/>
    <w:rsid w:val="00F13778"/>
    <w:rsid w:val="00F1400B"/>
    <w:rsid w:val="00F146E6"/>
    <w:rsid w:val="00F15020"/>
    <w:rsid w:val="00F156B3"/>
    <w:rsid w:val="00F1589C"/>
    <w:rsid w:val="00F15DA1"/>
    <w:rsid w:val="00F15FA5"/>
    <w:rsid w:val="00F161FD"/>
    <w:rsid w:val="00F1627C"/>
    <w:rsid w:val="00F16AB0"/>
    <w:rsid w:val="00F170A1"/>
    <w:rsid w:val="00F17264"/>
    <w:rsid w:val="00F17FBF"/>
    <w:rsid w:val="00F209B7"/>
    <w:rsid w:val="00F20C6D"/>
    <w:rsid w:val="00F20F5C"/>
    <w:rsid w:val="00F20FA7"/>
    <w:rsid w:val="00F21654"/>
    <w:rsid w:val="00F229F5"/>
    <w:rsid w:val="00F23387"/>
    <w:rsid w:val="00F23663"/>
    <w:rsid w:val="00F2376F"/>
    <w:rsid w:val="00F237BF"/>
    <w:rsid w:val="00F23C24"/>
    <w:rsid w:val="00F23E99"/>
    <w:rsid w:val="00F243D8"/>
    <w:rsid w:val="00F251A0"/>
    <w:rsid w:val="00F257E8"/>
    <w:rsid w:val="00F25DD7"/>
    <w:rsid w:val="00F25F55"/>
    <w:rsid w:val="00F2629C"/>
    <w:rsid w:val="00F2660E"/>
    <w:rsid w:val="00F26F54"/>
    <w:rsid w:val="00F2718C"/>
    <w:rsid w:val="00F2722A"/>
    <w:rsid w:val="00F274CE"/>
    <w:rsid w:val="00F27B9D"/>
    <w:rsid w:val="00F27E65"/>
    <w:rsid w:val="00F30196"/>
    <w:rsid w:val="00F30828"/>
    <w:rsid w:val="00F30CA4"/>
    <w:rsid w:val="00F310B7"/>
    <w:rsid w:val="00F313D6"/>
    <w:rsid w:val="00F316E0"/>
    <w:rsid w:val="00F3179F"/>
    <w:rsid w:val="00F3181C"/>
    <w:rsid w:val="00F3190C"/>
    <w:rsid w:val="00F31953"/>
    <w:rsid w:val="00F31B80"/>
    <w:rsid w:val="00F32B55"/>
    <w:rsid w:val="00F32C07"/>
    <w:rsid w:val="00F33074"/>
    <w:rsid w:val="00F33593"/>
    <w:rsid w:val="00F33D10"/>
    <w:rsid w:val="00F3485B"/>
    <w:rsid w:val="00F34EE1"/>
    <w:rsid w:val="00F35244"/>
    <w:rsid w:val="00F355E4"/>
    <w:rsid w:val="00F35638"/>
    <w:rsid w:val="00F36888"/>
    <w:rsid w:val="00F36F81"/>
    <w:rsid w:val="00F370E6"/>
    <w:rsid w:val="00F3757B"/>
    <w:rsid w:val="00F3793A"/>
    <w:rsid w:val="00F3796C"/>
    <w:rsid w:val="00F379A6"/>
    <w:rsid w:val="00F379CE"/>
    <w:rsid w:val="00F402D3"/>
    <w:rsid w:val="00F4055C"/>
    <w:rsid w:val="00F40CF7"/>
    <w:rsid w:val="00F40D22"/>
    <w:rsid w:val="00F40F0C"/>
    <w:rsid w:val="00F41125"/>
    <w:rsid w:val="00F411C9"/>
    <w:rsid w:val="00F41478"/>
    <w:rsid w:val="00F41A2A"/>
    <w:rsid w:val="00F41B79"/>
    <w:rsid w:val="00F42892"/>
    <w:rsid w:val="00F42AF3"/>
    <w:rsid w:val="00F42DCA"/>
    <w:rsid w:val="00F42F1C"/>
    <w:rsid w:val="00F432F0"/>
    <w:rsid w:val="00F4330C"/>
    <w:rsid w:val="00F4438E"/>
    <w:rsid w:val="00F44689"/>
    <w:rsid w:val="00F45027"/>
    <w:rsid w:val="00F465BB"/>
    <w:rsid w:val="00F46D3A"/>
    <w:rsid w:val="00F47600"/>
    <w:rsid w:val="00F4766C"/>
    <w:rsid w:val="00F47828"/>
    <w:rsid w:val="00F47DF1"/>
    <w:rsid w:val="00F501DE"/>
    <w:rsid w:val="00F5060E"/>
    <w:rsid w:val="00F507D1"/>
    <w:rsid w:val="00F50CAB"/>
    <w:rsid w:val="00F50CE9"/>
    <w:rsid w:val="00F5114A"/>
    <w:rsid w:val="00F512BB"/>
    <w:rsid w:val="00F516D3"/>
    <w:rsid w:val="00F519CE"/>
    <w:rsid w:val="00F51ADA"/>
    <w:rsid w:val="00F526EF"/>
    <w:rsid w:val="00F532E4"/>
    <w:rsid w:val="00F53724"/>
    <w:rsid w:val="00F5382D"/>
    <w:rsid w:val="00F53A09"/>
    <w:rsid w:val="00F54EEE"/>
    <w:rsid w:val="00F55D50"/>
    <w:rsid w:val="00F57135"/>
    <w:rsid w:val="00F57767"/>
    <w:rsid w:val="00F57FA4"/>
    <w:rsid w:val="00F60203"/>
    <w:rsid w:val="00F607C5"/>
    <w:rsid w:val="00F60DEA"/>
    <w:rsid w:val="00F60F4F"/>
    <w:rsid w:val="00F610C8"/>
    <w:rsid w:val="00F61215"/>
    <w:rsid w:val="00F614C6"/>
    <w:rsid w:val="00F61602"/>
    <w:rsid w:val="00F617BA"/>
    <w:rsid w:val="00F621D8"/>
    <w:rsid w:val="00F62582"/>
    <w:rsid w:val="00F6288C"/>
    <w:rsid w:val="00F62B72"/>
    <w:rsid w:val="00F6302A"/>
    <w:rsid w:val="00F63950"/>
    <w:rsid w:val="00F63ABA"/>
    <w:rsid w:val="00F63FAE"/>
    <w:rsid w:val="00F64C2B"/>
    <w:rsid w:val="00F651BE"/>
    <w:rsid w:val="00F6522C"/>
    <w:rsid w:val="00F6574E"/>
    <w:rsid w:val="00F65A4D"/>
    <w:rsid w:val="00F65E54"/>
    <w:rsid w:val="00F65EB8"/>
    <w:rsid w:val="00F6635D"/>
    <w:rsid w:val="00F667CA"/>
    <w:rsid w:val="00F66A17"/>
    <w:rsid w:val="00F66E87"/>
    <w:rsid w:val="00F672D1"/>
    <w:rsid w:val="00F67C50"/>
    <w:rsid w:val="00F67D81"/>
    <w:rsid w:val="00F67F53"/>
    <w:rsid w:val="00F703A4"/>
    <w:rsid w:val="00F703BE"/>
    <w:rsid w:val="00F704BB"/>
    <w:rsid w:val="00F70C84"/>
    <w:rsid w:val="00F71687"/>
    <w:rsid w:val="00F7168D"/>
    <w:rsid w:val="00F7191D"/>
    <w:rsid w:val="00F71F69"/>
    <w:rsid w:val="00F72092"/>
    <w:rsid w:val="00F720A0"/>
    <w:rsid w:val="00F721BF"/>
    <w:rsid w:val="00F72B72"/>
    <w:rsid w:val="00F72D0C"/>
    <w:rsid w:val="00F72D59"/>
    <w:rsid w:val="00F72EBB"/>
    <w:rsid w:val="00F7313A"/>
    <w:rsid w:val="00F73B16"/>
    <w:rsid w:val="00F742F9"/>
    <w:rsid w:val="00F74BB9"/>
    <w:rsid w:val="00F74BC1"/>
    <w:rsid w:val="00F75582"/>
    <w:rsid w:val="00F75624"/>
    <w:rsid w:val="00F7593D"/>
    <w:rsid w:val="00F760A3"/>
    <w:rsid w:val="00F7682A"/>
    <w:rsid w:val="00F76B0F"/>
    <w:rsid w:val="00F76CC2"/>
    <w:rsid w:val="00F76E52"/>
    <w:rsid w:val="00F76EFA"/>
    <w:rsid w:val="00F7752E"/>
    <w:rsid w:val="00F77895"/>
    <w:rsid w:val="00F77C6A"/>
    <w:rsid w:val="00F8035C"/>
    <w:rsid w:val="00F804BE"/>
    <w:rsid w:val="00F80A47"/>
    <w:rsid w:val="00F80E74"/>
    <w:rsid w:val="00F8170B"/>
    <w:rsid w:val="00F817CE"/>
    <w:rsid w:val="00F818C1"/>
    <w:rsid w:val="00F81BE6"/>
    <w:rsid w:val="00F8235C"/>
    <w:rsid w:val="00F826F8"/>
    <w:rsid w:val="00F82859"/>
    <w:rsid w:val="00F8313E"/>
    <w:rsid w:val="00F84043"/>
    <w:rsid w:val="00F8456C"/>
    <w:rsid w:val="00F852D4"/>
    <w:rsid w:val="00F855CE"/>
    <w:rsid w:val="00F859D8"/>
    <w:rsid w:val="00F85C38"/>
    <w:rsid w:val="00F85C7E"/>
    <w:rsid w:val="00F85F3E"/>
    <w:rsid w:val="00F8640D"/>
    <w:rsid w:val="00F8653F"/>
    <w:rsid w:val="00F868F5"/>
    <w:rsid w:val="00F87EBC"/>
    <w:rsid w:val="00F9056A"/>
    <w:rsid w:val="00F90803"/>
    <w:rsid w:val="00F90B31"/>
    <w:rsid w:val="00F90B41"/>
    <w:rsid w:val="00F90F8D"/>
    <w:rsid w:val="00F91C85"/>
    <w:rsid w:val="00F922AE"/>
    <w:rsid w:val="00F92782"/>
    <w:rsid w:val="00F92FBB"/>
    <w:rsid w:val="00F93230"/>
    <w:rsid w:val="00F936C8"/>
    <w:rsid w:val="00F93AA9"/>
    <w:rsid w:val="00F94055"/>
    <w:rsid w:val="00F943AA"/>
    <w:rsid w:val="00F94B42"/>
    <w:rsid w:val="00F94C2B"/>
    <w:rsid w:val="00F951BF"/>
    <w:rsid w:val="00F9551A"/>
    <w:rsid w:val="00F95B5F"/>
    <w:rsid w:val="00F95EA8"/>
    <w:rsid w:val="00F9658C"/>
    <w:rsid w:val="00F96985"/>
    <w:rsid w:val="00F96CF2"/>
    <w:rsid w:val="00F975E8"/>
    <w:rsid w:val="00F97680"/>
    <w:rsid w:val="00F976CB"/>
    <w:rsid w:val="00F97838"/>
    <w:rsid w:val="00F97BBA"/>
    <w:rsid w:val="00FA026F"/>
    <w:rsid w:val="00FA14DD"/>
    <w:rsid w:val="00FA2929"/>
    <w:rsid w:val="00FA2BB3"/>
    <w:rsid w:val="00FA2D33"/>
    <w:rsid w:val="00FA36ED"/>
    <w:rsid w:val="00FA3EE1"/>
    <w:rsid w:val="00FA513B"/>
    <w:rsid w:val="00FA65BD"/>
    <w:rsid w:val="00FA6698"/>
    <w:rsid w:val="00FA683A"/>
    <w:rsid w:val="00FA76A8"/>
    <w:rsid w:val="00FA77CC"/>
    <w:rsid w:val="00FA7C90"/>
    <w:rsid w:val="00FA7EDE"/>
    <w:rsid w:val="00FB0522"/>
    <w:rsid w:val="00FB0A77"/>
    <w:rsid w:val="00FB0C33"/>
    <w:rsid w:val="00FB0D8F"/>
    <w:rsid w:val="00FB0F28"/>
    <w:rsid w:val="00FB11BD"/>
    <w:rsid w:val="00FB1F67"/>
    <w:rsid w:val="00FB26DD"/>
    <w:rsid w:val="00FB2A58"/>
    <w:rsid w:val="00FB3770"/>
    <w:rsid w:val="00FB3803"/>
    <w:rsid w:val="00FB3B44"/>
    <w:rsid w:val="00FB3F6C"/>
    <w:rsid w:val="00FB3FAE"/>
    <w:rsid w:val="00FB4466"/>
    <w:rsid w:val="00FB4C34"/>
    <w:rsid w:val="00FB4C80"/>
    <w:rsid w:val="00FB65E5"/>
    <w:rsid w:val="00FB6A6A"/>
    <w:rsid w:val="00FB74E5"/>
    <w:rsid w:val="00FB75BA"/>
    <w:rsid w:val="00FB7A54"/>
    <w:rsid w:val="00FB7D49"/>
    <w:rsid w:val="00FB7F41"/>
    <w:rsid w:val="00FB7F92"/>
    <w:rsid w:val="00FC0574"/>
    <w:rsid w:val="00FC0DE1"/>
    <w:rsid w:val="00FC0EAC"/>
    <w:rsid w:val="00FC10EC"/>
    <w:rsid w:val="00FC146C"/>
    <w:rsid w:val="00FC18FC"/>
    <w:rsid w:val="00FC2257"/>
    <w:rsid w:val="00FC27AB"/>
    <w:rsid w:val="00FC2BF9"/>
    <w:rsid w:val="00FC2E1E"/>
    <w:rsid w:val="00FC2E5D"/>
    <w:rsid w:val="00FC35C6"/>
    <w:rsid w:val="00FC3C60"/>
    <w:rsid w:val="00FC3CA0"/>
    <w:rsid w:val="00FC45B9"/>
    <w:rsid w:val="00FC4740"/>
    <w:rsid w:val="00FC5211"/>
    <w:rsid w:val="00FC5D99"/>
    <w:rsid w:val="00FC61D1"/>
    <w:rsid w:val="00FC7012"/>
    <w:rsid w:val="00FC7385"/>
    <w:rsid w:val="00FC7429"/>
    <w:rsid w:val="00FC79B6"/>
    <w:rsid w:val="00FC7B0C"/>
    <w:rsid w:val="00FC7DBA"/>
    <w:rsid w:val="00FD0683"/>
    <w:rsid w:val="00FD07F6"/>
    <w:rsid w:val="00FD0B7A"/>
    <w:rsid w:val="00FD18D0"/>
    <w:rsid w:val="00FD1EC8"/>
    <w:rsid w:val="00FD22FA"/>
    <w:rsid w:val="00FD2316"/>
    <w:rsid w:val="00FD3227"/>
    <w:rsid w:val="00FD327A"/>
    <w:rsid w:val="00FD36E2"/>
    <w:rsid w:val="00FD3726"/>
    <w:rsid w:val="00FD3E5D"/>
    <w:rsid w:val="00FD47C8"/>
    <w:rsid w:val="00FD47ED"/>
    <w:rsid w:val="00FD4ADC"/>
    <w:rsid w:val="00FD51E2"/>
    <w:rsid w:val="00FD54BA"/>
    <w:rsid w:val="00FD6E4A"/>
    <w:rsid w:val="00FD7202"/>
    <w:rsid w:val="00FD73CA"/>
    <w:rsid w:val="00FD74DB"/>
    <w:rsid w:val="00FD759A"/>
    <w:rsid w:val="00FD7660"/>
    <w:rsid w:val="00FD78B4"/>
    <w:rsid w:val="00FD78E1"/>
    <w:rsid w:val="00FE0655"/>
    <w:rsid w:val="00FE0B65"/>
    <w:rsid w:val="00FE129A"/>
    <w:rsid w:val="00FE1E71"/>
    <w:rsid w:val="00FE1E7E"/>
    <w:rsid w:val="00FE233E"/>
    <w:rsid w:val="00FE2365"/>
    <w:rsid w:val="00FE2692"/>
    <w:rsid w:val="00FE2E29"/>
    <w:rsid w:val="00FE375E"/>
    <w:rsid w:val="00FE37D7"/>
    <w:rsid w:val="00FE3B46"/>
    <w:rsid w:val="00FE48D0"/>
    <w:rsid w:val="00FE4C7B"/>
    <w:rsid w:val="00FE518E"/>
    <w:rsid w:val="00FE5B06"/>
    <w:rsid w:val="00FE6708"/>
    <w:rsid w:val="00FE6E35"/>
    <w:rsid w:val="00FE7189"/>
    <w:rsid w:val="00FE7336"/>
    <w:rsid w:val="00FE763E"/>
    <w:rsid w:val="00FE787C"/>
    <w:rsid w:val="00FE7BF6"/>
    <w:rsid w:val="00FF01BA"/>
    <w:rsid w:val="00FF02AE"/>
    <w:rsid w:val="00FF03C6"/>
    <w:rsid w:val="00FF054C"/>
    <w:rsid w:val="00FF09F8"/>
    <w:rsid w:val="00FF0DE5"/>
    <w:rsid w:val="00FF1226"/>
    <w:rsid w:val="00FF1AD4"/>
    <w:rsid w:val="00FF1D01"/>
    <w:rsid w:val="00FF1FC1"/>
    <w:rsid w:val="00FF27B9"/>
    <w:rsid w:val="00FF298B"/>
    <w:rsid w:val="00FF2BD8"/>
    <w:rsid w:val="00FF2EFC"/>
    <w:rsid w:val="00FF3ED6"/>
    <w:rsid w:val="00FF423A"/>
    <w:rsid w:val="00FF4284"/>
    <w:rsid w:val="00FF44C8"/>
    <w:rsid w:val="00FF45A5"/>
    <w:rsid w:val="00FF45E5"/>
    <w:rsid w:val="00FF47FE"/>
    <w:rsid w:val="00FF4DC3"/>
    <w:rsid w:val="00FF4EF2"/>
    <w:rsid w:val="00FF5247"/>
    <w:rsid w:val="00FF5AE6"/>
    <w:rsid w:val="00FF5C91"/>
    <w:rsid w:val="00FF6806"/>
    <w:rsid w:val="00FF791D"/>
    <w:rsid w:val="31710A8E"/>
    <w:rsid w:val="6564FED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4EE303"/>
  <w15:chartTrackingRefBased/>
  <w15:docId w15:val="{7AB2564B-D1D1-4AA2-A7AD-F6092000F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qFormat="1"/>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0"/>
      </w:numPr>
    </w:pPr>
  </w:style>
  <w:style w:type="paragraph" w:styleId="ListNumber">
    <w:name w:val="List Number"/>
    <w:basedOn w:val="List"/>
    <w:rsid w:val="003A70A4"/>
    <w:pPr>
      <w:numPr>
        <w:numId w:val="9"/>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5"/>
      </w:numPr>
    </w:pPr>
  </w:style>
  <w:style w:type="paragraph" w:styleId="ListBullet">
    <w:name w:val="List Bullet"/>
    <w:basedOn w:val="List"/>
    <w:rsid w:val="003A70A4"/>
    <w:pPr>
      <w:numPr>
        <w:numId w:val="4"/>
      </w:numPr>
    </w:pPr>
    <w:rPr>
      <w:lang w:eastAsia="ja-JP"/>
    </w:rPr>
  </w:style>
  <w:style w:type="paragraph" w:styleId="ListBullet3">
    <w:name w:val="List Bullet 3"/>
    <w:basedOn w:val="ListBullet2"/>
    <w:rsid w:val="008D00A5"/>
    <w:pPr>
      <w:numPr>
        <w:numId w:val="6"/>
      </w:numPr>
    </w:pPr>
  </w:style>
  <w:style w:type="paragraph" w:customStyle="1" w:styleId="EQ">
    <w:name w:val="EQ"/>
    <w:basedOn w:val="Normal"/>
    <w:next w:val="Normal"/>
    <w:link w:val="EQChar"/>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7"/>
      </w:numPr>
    </w:pPr>
  </w:style>
  <w:style w:type="paragraph" w:styleId="ListBullet5">
    <w:name w:val="List Bullet 5"/>
    <w:basedOn w:val="ListBullet4"/>
    <w:rsid w:val="008D00A5"/>
    <w:pPr>
      <w:numPr>
        <w:numId w:val="8"/>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0">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1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F00F03"/>
    <w:pPr>
      <w:numPr>
        <w:numId w:val="11"/>
      </w:numPr>
      <w:tabs>
        <w:tab w:val="num" w:pos="360"/>
      </w:tabs>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0"/>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rml">
    <w:name w:val="Norml"/>
    <w:basedOn w:val="Proposal"/>
    <w:qFormat/>
    <w:rsid w:val="00F20C6D"/>
  </w:style>
  <w:style w:type="paragraph" w:styleId="NormalWeb">
    <w:name w:val="Normal (Web)"/>
    <w:basedOn w:val="Normal"/>
    <w:uiPriority w:val="99"/>
    <w:unhideWhenUsed/>
    <w:rsid w:val="00D954D2"/>
    <w:pPr>
      <w:overflowPunct/>
      <w:autoSpaceDE/>
      <w:autoSpaceDN/>
      <w:adjustRightInd/>
      <w:spacing w:before="100" w:beforeAutospacing="1" w:after="100" w:afterAutospacing="1"/>
      <w:textAlignment w:val="auto"/>
    </w:pPr>
    <w:rPr>
      <w:sz w:val="24"/>
      <w:szCs w:val="24"/>
      <w:lang w:val="sv-SE" w:eastAsia="sv-SE"/>
    </w:rPr>
  </w:style>
  <w:style w:type="character" w:styleId="Mention">
    <w:name w:val="Mention"/>
    <w:basedOn w:val="DefaultParagraphFont"/>
    <w:uiPriority w:val="99"/>
    <w:unhideWhenUsed/>
    <w:rsid w:val="00575869"/>
    <w:rPr>
      <w:color w:val="2B579A"/>
      <w:shd w:val="clear" w:color="auto" w:fill="E1DFDD"/>
    </w:rPr>
  </w:style>
  <w:style w:type="paragraph" w:customStyle="1" w:styleId="IvDbodytext">
    <w:name w:val="IvD bodytext"/>
    <w:basedOn w:val="BodyText"/>
    <w:link w:val="IvDbodytextChar"/>
    <w:qFormat/>
    <w:rsid w:val="001A343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A343E"/>
    <w:rPr>
      <w:rFonts w:ascii="Arial" w:hAnsi="Arial"/>
      <w:spacing w:val="2"/>
      <w:lang w:val="en-US" w:eastAsia="en-US"/>
    </w:rPr>
  </w:style>
  <w:style w:type="paragraph" w:customStyle="1" w:styleId="Ober">
    <w:name w:val="Ober"/>
    <w:basedOn w:val="Normal"/>
    <w:qFormat/>
    <w:rsid w:val="00E943AF"/>
    <w:rPr>
      <w:rFonts w:ascii="Arial" w:hAnsi="Arial" w:cs="Arial"/>
      <w:lang w:val="en-US"/>
    </w:rPr>
  </w:style>
  <w:style w:type="character" w:customStyle="1" w:styleId="normaltextrun1">
    <w:name w:val="normaltextrun1"/>
    <w:basedOn w:val="DefaultParagraphFont"/>
    <w:rsid w:val="00CA46C9"/>
  </w:style>
  <w:style w:type="paragraph" w:customStyle="1" w:styleId="EmailDiscussion2">
    <w:name w:val="EmailDiscussion2"/>
    <w:basedOn w:val="Doc-text2"/>
    <w:qFormat/>
    <w:rsid w:val="006F2B71"/>
    <w:pPr>
      <w:overflowPunct/>
      <w:autoSpaceDE/>
      <w:autoSpaceDN/>
      <w:adjustRightInd/>
      <w:textAlignment w:val="auto"/>
    </w:pPr>
    <w:rPr>
      <w:rFonts w:ascii="Times New Roman" w:eastAsia="Times New Roman" w:hAnsi="Times New Roman"/>
      <w:sz w:val="24"/>
      <w:lang w:val="en-US" w:eastAsia="zh-CN"/>
    </w:rPr>
  </w:style>
  <w:style w:type="paragraph" w:styleId="Revision">
    <w:name w:val="Revision"/>
    <w:hidden/>
    <w:uiPriority w:val="99"/>
    <w:semiHidden/>
    <w:rsid w:val="000C79DC"/>
    <w:rPr>
      <w:rFonts w:ascii="Times New Roman" w:hAnsi="Times New Roman"/>
      <w:lang w:eastAsia="ja-JP"/>
    </w:rPr>
  </w:style>
  <w:style w:type="table" w:styleId="GridTable5Dark-Accent1">
    <w:name w:val="Grid Table 5 Dark Accent 1"/>
    <w:basedOn w:val="TableNormal"/>
    <w:uiPriority w:val="50"/>
    <w:rsid w:val="00B6479A"/>
    <w:pPr>
      <w:autoSpaceDN w:val="0"/>
      <w:textAlignment w:val="baseline"/>
    </w:pPr>
    <w:rPr>
      <w:rFonts w:ascii="Calibri" w:eastAsia="Calibri" w:hAnsi="Calibri"/>
      <w:sz w:val="22"/>
      <w:szCs w:val="22"/>
      <w:lang w:val="sv-SE"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ListTable6Colorful-Accent5">
    <w:name w:val="List Table 6 Colorful Accent 5"/>
    <w:basedOn w:val="TableNormal"/>
    <w:uiPriority w:val="51"/>
    <w:rsid w:val="00B6479A"/>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5Dark-Accent5">
    <w:name w:val="Grid Table 5 Dark Accent 5"/>
    <w:basedOn w:val="TableNormal"/>
    <w:uiPriority w:val="50"/>
    <w:rsid w:val="00B6479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B1Char">
    <w:name w:val="B1 Char"/>
    <w:qFormat/>
    <w:rsid w:val="00D93584"/>
    <w:rPr>
      <w:rFonts w:eastAsia="Times New Roman"/>
    </w:rPr>
  </w:style>
  <w:style w:type="character" w:customStyle="1" w:styleId="B3Char">
    <w:name w:val="B3 Char"/>
    <w:qFormat/>
    <w:rsid w:val="00D93584"/>
    <w:rPr>
      <w:rFonts w:eastAsia="Times New Roman"/>
    </w:rPr>
  </w:style>
  <w:style w:type="character" w:customStyle="1" w:styleId="ui-provider">
    <w:name w:val="ui-provider"/>
    <w:basedOn w:val="DefaultParagraphFont"/>
    <w:rsid w:val="008479DB"/>
  </w:style>
  <w:style w:type="character" w:customStyle="1" w:styleId="EQChar">
    <w:name w:val="EQ Char"/>
    <w:link w:val="EQ"/>
    <w:qFormat/>
    <w:locked/>
    <w:rsid w:val="00675D8A"/>
    <w:rPr>
      <w:rFonts w:ascii="Times New Roman" w:hAnsi="Times New Roman"/>
      <w:noProof/>
      <w:lang w:eastAsia="ja-JP"/>
    </w:rPr>
  </w:style>
  <w:style w:type="paragraph" w:customStyle="1" w:styleId="B2">
    <w:name w:val="B2+"/>
    <w:basedOn w:val="B20"/>
    <w:uiPriority w:val="99"/>
    <w:qFormat/>
    <w:rsid w:val="00675D8A"/>
    <w:pPr>
      <w:numPr>
        <w:numId w:val="15"/>
      </w:numPr>
      <w:tabs>
        <w:tab w:val="clear" w:pos="1191"/>
        <w:tab w:val="num" w:pos="851"/>
      </w:tabs>
      <w:spacing w:after="180"/>
      <w:jc w:val="left"/>
    </w:pPr>
    <w:rPr>
      <w:rFonts w:eastAsia="PMingLiU"/>
      <w:lang w:eastAsia="ko-KR"/>
    </w:rPr>
  </w:style>
  <w:style w:type="paragraph" w:customStyle="1" w:styleId="Prpo">
    <w:name w:val="Prpo"/>
    <w:basedOn w:val="Normal"/>
    <w:qFormat/>
    <w:rsid w:val="002D000B"/>
    <w:rPr>
      <w:rFonts w:ascii="Arial"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47256">
      <w:bodyDiv w:val="1"/>
      <w:marLeft w:val="0"/>
      <w:marRight w:val="0"/>
      <w:marTop w:val="0"/>
      <w:marBottom w:val="0"/>
      <w:divBdr>
        <w:top w:val="none" w:sz="0" w:space="0" w:color="auto"/>
        <w:left w:val="none" w:sz="0" w:space="0" w:color="auto"/>
        <w:bottom w:val="none" w:sz="0" w:space="0" w:color="auto"/>
        <w:right w:val="none" w:sz="0" w:space="0" w:color="auto"/>
      </w:divBdr>
    </w:div>
    <w:div w:id="83457399">
      <w:bodyDiv w:val="1"/>
      <w:marLeft w:val="0"/>
      <w:marRight w:val="0"/>
      <w:marTop w:val="0"/>
      <w:marBottom w:val="0"/>
      <w:divBdr>
        <w:top w:val="none" w:sz="0" w:space="0" w:color="auto"/>
        <w:left w:val="none" w:sz="0" w:space="0" w:color="auto"/>
        <w:bottom w:val="none" w:sz="0" w:space="0" w:color="auto"/>
        <w:right w:val="none" w:sz="0" w:space="0" w:color="auto"/>
      </w:divBdr>
    </w:div>
    <w:div w:id="169758726">
      <w:bodyDiv w:val="1"/>
      <w:marLeft w:val="0"/>
      <w:marRight w:val="0"/>
      <w:marTop w:val="0"/>
      <w:marBottom w:val="0"/>
      <w:divBdr>
        <w:top w:val="none" w:sz="0" w:space="0" w:color="auto"/>
        <w:left w:val="none" w:sz="0" w:space="0" w:color="auto"/>
        <w:bottom w:val="none" w:sz="0" w:space="0" w:color="auto"/>
        <w:right w:val="none" w:sz="0" w:space="0" w:color="auto"/>
      </w:divBdr>
    </w:div>
    <w:div w:id="189420010">
      <w:bodyDiv w:val="1"/>
      <w:marLeft w:val="0"/>
      <w:marRight w:val="0"/>
      <w:marTop w:val="0"/>
      <w:marBottom w:val="0"/>
      <w:divBdr>
        <w:top w:val="none" w:sz="0" w:space="0" w:color="auto"/>
        <w:left w:val="none" w:sz="0" w:space="0" w:color="auto"/>
        <w:bottom w:val="none" w:sz="0" w:space="0" w:color="auto"/>
        <w:right w:val="none" w:sz="0" w:space="0" w:color="auto"/>
      </w:divBdr>
    </w:div>
    <w:div w:id="193621879">
      <w:bodyDiv w:val="1"/>
      <w:marLeft w:val="0"/>
      <w:marRight w:val="0"/>
      <w:marTop w:val="0"/>
      <w:marBottom w:val="0"/>
      <w:divBdr>
        <w:top w:val="none" w:sz="0" w:space="0" w:color="auto"/>
        <w:left w:val="none" w:sz="0" w:space="0" w:color="auto"/>
        <w:bottom w:val="none" w:sz="0" w:space="0" w:color="auto"/>
        <w:right w:val="none" w:sz="0" w:space="0" w:color="auto"/>
      </w:divBdr>
    </w:div>
    <w:div w:id="204295753">
      <w:bodyDiv w:val="1"/>
      <w:marLeft w:val="0"/>
      <w:marRight w:val="0"/>
      <w:marTop w:val="0"/>
      <w:marBottom w:val="0"/>
      <w:divBdr>
        <w:top w:val="none" w:sz="0" w:space="0" w:color="auto"/>
        <w:left w:val="none" w:sz="0" w:space="0" w:color="auto"/>
        <w:bottom w:val="none" w:sz="0" w:space="0" w:color="auto"/>
        <w:right w:val="none" w:sz="0" w:space="0" w:color="auto"/>
      </w:divBdr>
    </w:div>
    <w:div w:id="262499899">
      <w:bodyDiv w:val="1"/>
      <w:marLeft w:val="0"/>
      <w:marRight w:val="0"/>
      <w:marTop w:val="0"/>
      <w:marBottom w:val="0"/>
      <w:divBdr>
        <w:top w:val="none" w:sz="0" w:space="0" w:color="auto"/>
        <w:left w:val="none" w:sz="0" w:space="0" w:color="auto"/>
        <w:bottom w:val="none" w:sz="0" w:space="0" w:color="auto"/>
        <w:right w:val="none" w:sz="0" w:space="0" w:color="auto"/>
      </w:divBdr>
    </w:div>
    <w:div w:id="285626469">
      <w:bodyDiv w:val="1"/>
      <w:marLeft w:val="0"/>
      <w:marRight w:val="0"/>
      <w:marTop w:val="0"/>
      <w:marBottom w:val="0"/>
      <w:divBdr>
        <w:top w:val="none" w:sz="0" w:space="0" w:color="auto"/>
        <w:left w:val="none" w:sz="0" w:space="0" w:color="auto"/>
        <w:bottom w:val="none" w:sz="0" w:space="0" w:color="auto"/>
        <w:right w:val="none" w:sz="0" w:space="0" w:color="auto"/>
      </w:divBdr>
    </w:div>
    <w:div w:id="297803624">
      <w:bodyDiv w:val="1"/>
      <w:marLeft w:val="0"/>
      <w:marRight w:val="0"/>
      <w:marTop w:val="0"/>
      <w:marBottom w:val="0"/>
      <w:divBdr>
        <w:top w:val="none" w:sz="0" w:space="0" w:color="auto"/>
        <w:left w:val="none" w:sz="0" w:space="0" w:color="auto"/>
        <w:bottom w:val="none" w:sz="0" w:space="0" w:color="auto"/>
        <w:right w:val="none" w:sz="0" w:space="0" w:color="auto"/>
      </w:divBdr>
    </w:div>
    <w:div w:id="364913879">
      <w:bodyDiv w:val="1"/>
      <w:marLeft w:val="0"/>
      <w:marRight w:val="0"/>
      <w:marTop w:val="0"/>
      <w:marBottom w:val="0"/>
      <w:divBdr>
        <w:top w:val="none" w:sz="0" w:space="0" w:color="auto"/>
        <w:left w:val="none" w:sz="0" w:space="0" w:color="auto"/>
        <w:bottom w:val="none" w:sz="0" w:space="0" w:color="auto"/>
        <w:right w:val="none" w:sz="0" w:space="0" w:color="auto"/>
      </w:divBdr>
    </w:div>
    <w:div w:id="377172524">
      <w:bodyDiv w:val="1"/>
      <w:marLeft w:val="0"/>
      <w:marRight w:val="0"/>
      <w:marTop w:val="0"/>
      <w:marBottom w:val="0"/>
      <w:divBdr>
        <w:top w:val="none" w:sz="0" w:space="0" w:color="auto"/>
        <w:left w:val="none" w:sz="0" w:space="0" w:color="auto"/>
        <w:bottom w:val="none" w:sz="0" w:space="0" w:color="auto"/>
        <w:right w:val="none" w:sz="0" w:space="0" w:color="auto"/>
      </w:divBdr>
    </w:div>
    <w:div w:id="385685091">
      <w:bodyDiv w:val="1"/>
      <w:marLeft w:val="0"/>
      <w:marRight w:val="0"/>
      <w:marTop w:val="0"/>
      <w:marBottom w:val="0"/>
      <w:divBdr>
        <w:top w:val="none" w:sz="0" w:space="0" w:color="auto"/>
        <w:left w:val="none" w:sz="0" w:space="0" w:color="auto"/>
        <w:bottom w:val="none" w:sz="0" w:space="0" w:color="auto"/>
        <w:right w:val="none" w:sz="0" w:space="0" w:color="auto"/>
      </w:divBdr>
    </w:div>
    <w:div w:id="580871138">
      <w:bodyDiv w:val="1"/>
      <w:marLeft w:val="0"/>
      <w:marRight w:val="0"/>
      <w:marTop w:val="0"/>
      <w:marBottom w:val="0"/>
      <w:divBdr>
        <w:top w:val="none" w:sz="0" w:space="0" w:color="auto"/>
        <w:left w:val="none" w:sz="0" w:space="0" w:color="auto"/>
        <w:bottom w:val="none" w:sz="0" w:space="0" w:color="auto"/>
        <w:right w:val="none" w:sz="0" w:space="0" w:color="auto"/>
      </w:divBdr>
    </w:div>
    <w:div w:id="586377799">
      <w:bodyDiv w:val="1"/>
      <w:marLeft w:val="0"/>
      <w:marRight w:val="0"/>
      <w:marTop w:val="0"/>
      <w:marBottom w:val="0"/>
      <w:divBdr>
        <w:top w:val="none" w:sz="0" w:space="0" w:color="auto"/>
        <w:left w:val="none" w:sz="0" w:space="0" w:color="auto"/>
        <w:bottom w:val="none" w:sz="0" w:space="0" w:color="auto"/>
        <w:right w:val="none" w:sz="0" w:space="0" w:color="auto"/>
      </w:divBdr>
    </w:div>
    <w:div w:id="733548524">
      <w:bodyDiv w:val="1"/>
      <w:marLeft w:val="0"/>
      <w:marRight w:val="0"/>
      <w:marTop w:val="0"/>
      <w:marBottom w:val="0"/>
      <w:divBdr>
        <w:top w:val="none" w:sz="0" w:space="0" w:color="auto"/>
        <w:left w:val="none" w:sz="0" w:space="0" w:color="auto"/>
        <w:bottom w:val="none" w:sz="0" w:space="0" w:color="auto"/>
        <w:right w:val="none" w:sz="0" w:space="0" w:color="auto"/>
      </w:divBdr>
    </w:div>
    <w:div w:id="766080887">
      <w:bodyDiv w:val="1"/>
      <w:marLeft w:val="0"/>
      <w:marRight w:val="0"/>
      <w:marTop w:val="0"/>
      <w:marBottom w:val="0"/>
      <w:divBdr>
        <w:top w:val="none" w:sz="0" w:space="0" w:color="auto"/>
        <w:left w:val="none" w:sz="0" w:space="0" w:color="auto"/>
        <w:bottom w:val="none" w:sz="0" w:space="0" w:color="auto"/>
        <w:right w:val="none" w:sz="0" w:space="0" w:color="auto"/>
      </w:divBdr>
    </w:div>
    <w:div w:id="784542132">
      <w:bodyDiv w:val="1"/>
      <w:marLeft w:val="0"/>
      <w:marRight w:val="0"/>
      <w:marTop w:val="0"/>
      <w:marBottom w:val="0"/>
      <w:divBdr>
        <w:top w:val="none" w:sz="0" w:space="0" w:color="auto"/>
        <w:left w:val="none" w:sz="0" w:space="0" w:color="auto"/>
        <w:bottom w:val="none" w:sz="0" w:space="0" w:color="auto"/>
        <w:right w:val="none" w:sz="0" w:space="0" w:color="auto"/>
      </w:divBdr>
    </w:div>
    <w:div w:id="818808792">
      <w:bodyDiv w:val="1"/>
      <w:marLeft w:val="0"/>
      <w:marRight w:val="0"/>
      <w:marTop w:val="0"/>
      <w:marBottom w:val="0"/>
      <w:divBdr>
        <w:top w:val="none" w:sz="0" w:space="0" w:color="auto"/>
        <w:left w:val="none" w:sz="0" w:space="0" w:color="auto"/>
        <w:bottom w:val="none" w:sz="0" w:space="0" w:color="auto"/>
        <w:right w:val="none" w:sz="0" w:space="0" w:color="auto"/>
      </w:divBdr>
      <w:divsChild>
        <w:div w:id="269556430">
          <w:marLeft w:val="360"/>
          <w:marRight w:val="0"/>
          <w:marTop w:val="160"/>
          <w:marBottom w:val="0"/>
          <w:divBdr>
            <w:top w:val="none" w:sz="0" w:space="0" w:color="auto"/>
            <w:left w:val="none" w:sz="0" w:space="0" w:color="auto"/>
            <w:bottom w:val="none" w:sz="0" w:space="0" w:color="auto"/>
            <w:right w:val="none" w:sz="0" w:space="0" w:color="auto"/>
          </w:divBdr>
        </w:div>
        <w:div w:id="420612491">
          <w:marLeft w:val="418"/>
          <w:marRight w:val="0"/>
          <w:marTop w:val="160"/>
          <w:marBottom w:val="0"/>
          <w:divBdr>
            <w:top w:val="none" w:sz="0" w:space="0" w:color="auto"/>
            <w:left w:val="none" w:sz="0" w:space="0" w:color="auto"/>
            <w:bottom w:val="none" w:sz="0" w:space="0" w:color="auto"/>
            <w:right w:val="none" w:sz="0" w:space="0" w:color="auto"/>
          </w:divBdr>
        </w:div>
        <w:div w:id="1247491815">
          <w:marLeft w:val="360"/>
          <w:marRight w:val="0"/>
          <w:marTop w:val="160"/>
          <w:marBottom w:val="0"/>
          <w:divBdr>
            <w:top w:val="none" w:sz="0" w:space="0" w:color="auto"/>
            <w:left w:val="none" w:sz="0" w:space="0" w:color="auto"/>
            <w:bottom w:val="none" w:sz="0" w:space="0" w:color="auto"/>
            <w:right w:val="none" w:sz="0" w:space="0" w:color="auto"/>
          </w:divBdr>
        </w:div>
        <w:div w:id="1943028898">
          <w:marLeft w:val="360"/>
          <w:marRight w:val="0"/>
          <w:marTop w:val="160"/>
          <w:marBottom w:val="0"/>
          <w:divBdr>
            <w:top w:val="none" w:sz="0" w:space="0" w:color="auto"/>
            <w:left w:val="none" w:sz="0" w:space="0" w:color="auto"/>
            <w:bottom w:val="none" w:sz="0" w:space="0" w:color="auto"/>
            <w:right w:val="none" w:sz="0" w:space="0" w:color="auto"/>
          </w:divBdr>
        </w:div>
        <w:div w:id="2003972368">
          <w:marLeft w:val="360"/>
          <w:marRight w:val="0"/>
          <w:marTop w:val="160"/>
          <w:marBottom w:val="0"/>
          <w:divBdr>
            <w:top w:val="none" w:sz="0" w:space="0" w:color="auto"/>
            <w:left w:val="none" w:sz="0" w:space="0" w:color="auto"/>
            <w:bottom w:val="none" w:sz="0" w:space="0" w:color="auto"/>
            <w:right w:val="none" w:sz="0" w:space="0" w:color="auto"/>
          </w:divBdr>
        </w:div>
      </w:divsChild>
    </w:div>
    <w:div w:id="829562095">
      <w:bodyDiv w:val="1"/>
      <w:marLeft w:val="0"/>
      <w:marRight w:val="0"/>
      <w:marTop w:val="0"/>
      <w:marBottom w:val="0"/>
      <w:divBdr>
        <w:top w:val="none" w:sz="0" w:space="0" w:color="auto"/>
        <w:left w:val="none" w:sz="0" w:space="0" w:color="auto"/>
        <w:bottom w:val="none" w:sz="0" w:space="0" w:color="auto"/>
        <w:right w:val="none" w:sz="0" w:space="0" w:color="auto"/>
      </w:divBdr>
    </w:div>
    <w:div w:id="923491159">
      <w:bodyDiv w:val="1"/>
      <w:marLeft w:val="0"/>
      <w:marRight w:val="0"/>
      <w:marTop w:val="0"/>
      <w:marBottom w:val="0"/>
      <w:divBdr>
        <w:top w:val="none" w:sz="0" w:space="0" w:color="auto"/>
        <w:left w:val="none" w:sz="0" w:space="0" w:color="auto"/>
        <w:bottom w:val="none" w:sz="0" w:space="0" w:color="auto"/>
        <w:right w:val="none" w:sz="0" w:space="0" w:color="auto"/>
      </w:divBdr>
    </w:div>
    <w:div w:id="1046872275">
      <w:bodyDiv w:val="1"/>
      <w:marLeft w:val="0"/>
      <w:marRight w:val="0"/>
      <w:marTop w:val="0"/>
      <w:marBottom w:val="0"/>
      <w:divBdr>
        <w:top w:val="none" w:sz="0" w:space="0" w:color="auto"/>
        <w:left w:val="none" w:sz="0" w:space="0" w:color="auto"/>
        <w:bottom w:val="none" w:sz="0" w:space="0" w:color="auto"/>
        <w:right w:val="none" w:sz="0" w:space="0" w:color="auto"/>
      </w:divBdr>
    </w:div>
    <w:div w:id="1070688470">
      <w:bodyDiv w:val="1"/>
      <w:marLeft w:val="0"/>
      <w:marRight w:val="0"/>
      <w:marTop w:val="0"/>
      <w:marBottom w:val="0"/>
      <w:divBdr>
        <w:top w:val="none" w:sz="0" w:space="0" w:color="auto"/>
        <w:left w:val="none" w:sz="0" w:space="0" w:color="auto"/>
        <w:bottom w:val="none" w:sz="0" w:space="0" w:color="auto"/>
        <w:right w:val="none" w:sz="0" w:space="0" w:color="auto"/>
      </w:divBdr>
    </w:div>
    <w:div w:id="1081171984">
      <w:bodyDiv w:val="1"/>
      <w:marLeft w:val="0"/>
      <w:marRight w:val="0"/>
      <w:marTop w:val="0"/>
      <w:marBottom w:val="0"/>
      <w:divBdr>
        <w:top w:val="none" w:sz="0" w:space="0" w:color="auto"/>
        <w:left w:val="none" w:sz="0" w:space="0" w:color="auto"/>
        <w:bottom w:val="none" w:sz="0" w:space="0" w:color="auto"/>
        <w:right w:val="none" w:sz="0" w:space="0" w:color="auto"/>
      </w:divBdr>
    </w:div>
    <w:div w:id="1090857695">
      <w:bodyDiv w:val="1"/>
      <w:marLeft w:val="0"/>
      <w:marRight w:val="0"/>
      <w:marTop w:val="0"/>
      <w:marBottom w:val="0"/>
      <w:divBdr>
        <w:top w:val="none" w:sz="0" w:space="0" w:color="auto"/>
        <w:left w:val="none" w:sz="0" w:space="0" w:color="auto"/>
        <w:bottom w:val="none" w:sz="0" w:space="0" w:color="auto"/>
        <w:right w:val="none" w:sz="0" w:space="0" w:color="auto"/>
      </w:divBdr>
    </w:div>
    <w:div w:id="1187982345">
      <w:bodyDiv w:val="1"/>
      <w:marLeft w:val="0"/>
      <w:marRight w:val="0"/>
      <w:marTop w:val="0"/>
      <w:marBottom w:val="0"/>
      <w:divBdr>
        <w:top w:val="none" w:sz="0" w:space="0" w:color="auto"/>
        <w:left w:val="none" w:sz="0" w:space="0" w:color="auto"/>
        <w:bottom w:val="none" w:sz="0" w:space="0" w:color="auto"/>
        <w:right w:val="none" w:sz="0" w:space="0" w:color="auto"/>
      </w:divBdr>
      <w:divsChild>
        <w:div w:id="744453667">
          <w:marLeft w:val="360"/>
          <w:marRight w:val="0"/>
          <w:marTop w:val="160"/>
          <w:marBottom w:val="0"/>
          <w:divBdr>
            <w:top w:val="none" w:sz="0" w:space="0" w:color="auto"/>
            <w:left w:val="none" w:sz="0" w:space="0" w:color="auto"/>
            <w:bottom w:val="none" w:sz="0" w:space="0" w:color="auto"/>
            <w:right w:val="none" w:sz="0" w:space="0" w:color="auto"/>
          </w:divBdr>
        </w:div>
      </w:divsChild>
    </w:div>
    <w:div w:id="1303728588">
      <w:bodyDiv w:val="1"/>
      <w:marLeft w:val="0"/>
      <w:marRight w:val="0"/>
      <w:marTop w:val="0"/>
      <w:marBottom w:val="0"/>
      <w:divBdr>
        <w:top w:val="none" w:sz="0" w:space="0" w:color="auto"/>
        <w:left w:val="none" w:sz="0" w:space="0" w:color="auto"/>
        <w:bottom w:val="none" w:sz="0" w:space="0" w:color="auto"/>
        <w:right w:val="none" w:sz="0" w:space="0" w:color="auto"/>
      </w:divBdr>
    </w:div>
    <w:div w:id="1347755932">
      <w:bodyDiv w:val="1"/>
      <w:marLeft w:val="0"/>
      <w:marRight w:val="0"/>
      <w:marTop w:val="0"/>
      <w:marBottom w:val="0"/>
      <w:divBdr>
        <w:top w:val="none" w:sz="0" w:space="0" w:color="auto"/>
        <w:left w:val="none" w:sz="0" w:space="0" w:color="auto"/>
        <w:bottom w:val="none" w:sz="0" w:space="0" w:color="auto"/>
        <w:right w:val="none" w:sz="0" w:space="0" w:color="auto"/>
      </w:divBdr>
    </w:div>
    <w:div w:id="1360861857">
      <w:bodyDiv w:val="1"/>
      <w:marLeft w:val="0"/>
      <w:marRight w:val="0"/>
      <w:marTop w:val="0"/>
      <w:marBottom w:val="0"/>
      <w:divBdr>
        <w:top w:val="none" w:sz="0" w:space="0" w:color="auto"/>
        <w:left w:val="none" w:sz="0" w:space="0" w:color="auto"/>
        <w:bottom w:val="none" w:sz="0" w:space="0" w:color="auto"/>
        <w:right w:val="none" w:sz="0" w:space="0" w:color="auto"/>
      </w:divBdr>
    </w:div>
    <w:div w:id="1390422043">
      <w:bodyDiv w:val="1"/>
      <w:marLeft w:val="0"/>
      <w:marRight w:val="0"/>
      <w:marTop w:val="0"/>
      <w:marBottom w:val="0"/>
      <w:divBdr>
        <w:top w:val="none" w:sz="0" w:space="0" w:color="auto"/>
        <w:left w:val="none" w:sz="0" w:space="0" w:color="auto"/>
        <w:bottom w:val="none" w:sz="0" w:space="0" w:color="auto"/>
        <w:right w:val="none" w:sz="0" w:space="0" w:color="auto"/>
      </w:divBdr>
    </w:div>
    <w:div w:id="1473598408">
      <w:bodyDiv w:val="1"/>
      <w:marLeft w:val="0"/>
      <w:marRight w:val="0"/>
      <w:marTop w:val="0"/>
      <w:marBottom w:val="0"/>
      <w:divBdr>
        <w:top w:val="none" w:sz="0" w:space="0" w:color="auto"/>
        <w:left w:val="none" w:sz="0" w:space="0" w:color="auto"/>
        <w:bottom w:val="none" w:sz="0" w:space="0" w:color="auto"/>
        <w:right w:val="none" w:sz="0" w:space="0" w:color="auto"/>
      </w:divBdr>
    </w:div>
    <w:div w:id="1484853475">
      <w:bodyDiv w:val="1"/>
      <w:marLeft w:val="0"/>
      <w:marRight w:val="0"/>
      <w:marTop w:val="0"/>
      <w:marBottom w:val="0"/>
      <w:divBdr>
        <w:top w:val="none" w:sz="0" w:space="0" w:color="auto"/>
        <w:left w:val="none" w:sz="0" w:space="0" w:color="auto"/>
        <w:bottom w:val="none" w:sz="0" w:space="0" w:color="auto"/>
        <w:right w:val="none" w:sz="0" w:space="0" w:color="auto"/>
      </w:divBdr>
    </w:div>
    <w:div w:id="1503741513">
      <w:bodyDiv w:val="1"/>
      <w:marLeft w:val="0"/>
      <w:marRight w:val="0"/>
      <w:marTop w:val="0"/>
      <w:marBottom w:val="0"/>
      <w:divBdr>
        <w:top w:val="none" w:sz="0" w:space="0" w:color="auto"/>
        <w:left w:val="none" w:sz="0" w:space="0" w:color="auto"/>
        <w:bottom w:val="none" w:sz="0" w:space="0" w:color="auto"/>
        <w:right w:val="none" w:sz="0" w:space="0" w:color="auto"/>
      </w:divBdr>
      <w:divsChild>
        <w:div w:id="554506267">
          <w:marLeft w:val="360"/>
          <w:marRight w:val="0"/>
          <w:marTop w:val="160"/>
          <w:marBottom w:val="0"/>
          <w:divBdr>
            <w:top w:val="none" w:sz="0" w:space="0" w:color="auto"/>
            <w:left w:val="none" w:sz="0" w:space="0" w:color="auto"/>
            <w:bottom w:val="none" w:sz="0" w:space="0" w:color="auto"/>
            <w:right w:val="none" w:sz="0" w:space="0" w:color="auto"/>
          </w:divBdr>
        </w:div>
      </w:divsChild>
    </w:div>
    <w:div w:id="1573008552">
      <w:bodyDiv w:val="1"/>
      <w:marLeft w:val="0"/>
      <w:marRight w:val="0"/>
      <w:marTop w:val="0"/>
      <w:marBottom w:val="0"/>
      <w:divBdr>
        <w:top w:val="none" w:sz="0" w:space="0" w:color="auto"/>
        <w:left w:val="none" w:sz="0" w:space="0" w:color="auto"/>
        <w:bottom w:val="none" w:sz="0" w:space="0" w:color="auto"/>
        <w:right w:val="none" w:sz="0" w:space="0" w:color="auto"/>
      </w:divBdr>
    </w:div>
    <w:div w:id="1585144205">
      <w:bodyDiv w:val="1"/>
      <w:marLeft w:val="0"/>
      <w:marRight w:val="0"/>
      <w:marTop w:val="0"/>
      <w:marBottom w:val="0"/>
      <w:divBdr>
        <w:top w:val="none" w:sz="0" w:space="0" w:color="auto"/>
        <w:left w:val="none" w:sz="0" w:space="0" w:color="auto"/>
        <w:bottom w:val="none" w:sz="0" w:space="0" w:color="auto"/>
        <w:right w:val="none" w:sz="0" w:space="0" w:color="auto"/>
      </w:divBdr>
    </w:div>
    <w:div w:id="1660772801">
      <w:bodyDiv w:val="1"/>
      <w:marLeft w:val="0"/>
      <w:marRight w:val="0"/>
      <w:marTop w:val="0"/>
      <w:marBottom w:val="0"/>
      <w:divBdr>
        <w:top w:val="none" w:sz="0" w:space="0" w:color="auto"/>
        <w:left w:val="none" w:sz="0" w:space="0" w:color="auto"/>
        <w:bottom w:val="none" w:sz="0" w:space="0" w:color="auto"/>
        <w:right w:val="none" w:sz="0" w:space="0" w:color="auto"/>
      </w:divBdr>
    </w:div>
    <w:div w:id="1667707706">
      <w:bodyDiv w:val="1"/>
      <w:marLeft w:val="0"/>
      <w:marRight w:val="0"/>
      <w:marTop w:val="0"/>
      <w:marBottom w:val="0"/>
      <w:divBdr>
        <w:top w:val="none" w:sz="0" w:space="0" w:color="auto"/>
        <w:left w:val="none" w:sz="0" w:space="0" w:color="auto"/>
        <w:bottom w:val="none" w:sz="0" w:space="0" w:color="auto"/>
        <w:right w:val="none" w:sz="0" w:space="0" w:color="auto"/>
      </w:divBdr>
      <w:divsChild>
        <w:div w:id="2082288840">
          <w:marLeft w:val="288"/>
          <w:marRight w:val="0"/>
          <w:marTop w:val="160"/>
          <w:marBottom w:val="0"/>
          <w:divBdr>
            <w:top w:val="none" w:sz="0" w:space="0" w:color="auto"/>
            <w:left w:val="none" w:sz="0" w:space="0" w:color="auto"/>
            <w:bottom w:val="none" w:sz="0" w:space="0" w:color="auto"/>
            <w:right w:val="none" w:sz="0" w:space="0" w:color="auto"/>
          </w:divBdr>
        </w:div>
      </w:divsChild>
    </w:div>
    <w:div w:id="1692804313">
      <w:bodyDiv w:val="1"/>
      <w:marLeft w:val="0"/>
      <w:marRight w:val="0"/>
      <w:marTop w:val="0"/>
      <w:marBottom w:val="0"/>
      <w:divBdr>
        <w:top w:val="none" w:sz="0" w:space="0" w:color="auto"/>
        <w:left w:val="none" w:sz="0" w:space="0" w:color="auto"/>
        <w:bottom w:val="none" w:sz="0" w:space="0" w:color="auto"/>
        <w:right w:val="none" w:sz="0" w:space="0" w:color="auto"/>
      </w:divBdr>
    </w:div>
    <w:div w:id="1720475815">
      <w:bodyDiv w:val="1"/>
      <w:marLeft w:val="0"/>
      <w:marRight w:val="0"/>
      <w:marTop w:val="0"/>
      <w:marBottom w:val="0"/>
      <w:divBdr>
        <w:top w:val="none" w:sz="0" w:space="0" w:color="auto"/>
        <w:left w:val="none" w:sz="0" w:space="0" w:color="auto"/>
        <w:bottom w:val="none" w:sz="0" w:space="0" w:color="auto"/>
        <w:right w:val="none" w:sz="0" w:space="0" w:color="auto"/>
      </w:divBdr>
    </w:div>
    <w:div w:id="1846750627">
      <w:bodyDiv w:val="1"/>
      <w:marLeft w:val="0"/>
      <w:marRight w:val="0"/>
      <w:marTop w:val="0"/>
      <w:marBottom w:val="0"/>
      <w:divBdr>
        <w:top w:val="none" w:sz="0" w:space="0" w:color="auto"/>
        <w:left w:val="none" w:sz="0" w:space="0" w:color="auto"/>
        <w:bottom w:val="none" w:sz="0" w:space="0" w:color="auto"/>
        <w:right w:val="none" w:sz="0" w:space="0" w:color="auto"/>
      </w:divBdr>
    </w:div>
    <w:div w:id="1889027937">
      <w:bodyDiv w:val="1"/>
      <w:marLeft w:val="0"/>
      <w:marRight w:val="0"/>
      <w:marTop w:val="0"/>
      <w:marBottom w:val="0"/>
      <w:divBdr>
        <w:top w:val="none" w:sz="0" w:space="0" w:color="auto"/>
        <w:left w:val="none" w:sz="0" w:space="0" w:color="auto"/>
        <w:bottom w:val="none" w:sz="0" w:space="0" w:color="auto"/>
        <w:right w:val="none" w:sz="0" w:space="0" w:color="auto"/>
      </w:divBdr>
    </w:div>
    <w:div w:id="1923835161">
      <w:bodyDiv w:val="1"/>
      <w:marLeft w:val="0"/>
      <w:marRight w:val="0"/>
      <w:marTop w:val="0"/>
      <w:marBottom w:val="0"/>
      <w:divBdr>
        <w:top w:val="none" w:sz="0" w:space="0" w:color="auto"/>
        <w:left w:val="none" w:sz="0" w:space="0" w:color="auto"/>
        <w:bottom w:val="none" w:sz="0" w:space="0" w:color="auto"/>
        <w:right w:val="none" w:sz="0" w:space="0" w:color="auto"/>
      </w:divBdr>
    </w:div>
    <w:div w:id="1994215876">
      <w:bodyDiv w:val="1"/>
      <w:marLeft w:val="0"/>
      <w:marRight w:val="0"/>
      <w:marTop w:val="0"/>
      <w:marBottom w:val="0"/>
      <w:divBdr>
        <w:top w:val="none" w:sz="0" w:space="0" w:color="auto"/>
        <w:left w:val="none" w:sz="0" w:space="0" w:color="auto"/>
        <w:bottom w:val="none" w:sz="0" w:space="0" w:color="auto"/>
        <w:right w:val="none" w:sz="0" w:space="0" w:color="auto"/>
      </w:divBdr>
    </w:div>
    <w:div w:id="2026520698">
      <w:bodyDiv w:val="1"/>
      <w:marLeft w:val="0"/>
      <w:marRight w:val="0"/>
      <w:marTop w:val="0"/>
      <w:marBottom w:val="0"/>
      <w:divBdr>
        <w:top w:val="none" w:sz="0" w:space="0" w:color="auto"/>
        <w:left w:val="none" w:sz="0" w:space="0" w:color="auto"/>
        <w:bottom w:val="none" w:sz="0" w:space="0" w:color="auto"/>
        <w:right w:val="none" w:sz="0" w:space="0" w:color="auto"/>
      </w:divBdr>
    </w:div>
    <w:div w:id="2033148265">
      <w:bodyDiv w:val="1"/>
      <w:marLeft w:val="0"/>
      <w:marRight w:val="0"/>
      <w:marTop w:val="0"/>
      <w:marBottom w:val="0"/>
      <w:divBdr>
        <w:top w:val="none" w:sz="0" w:space="0" w:color="auto"/>
        <w:left w:val="none" w:sz="0" w:space="0" w:color="auto"/>
        <w:bottom w:val="none" w:sz="0" w:space="0" w:color="auto"/>
        <w:right w:val="none" w:sz="0" w:space="0" w:color="auto"/>
      </w:divBdr>
    </w:div>
    <w:div w:id="2097437771">
      <w:bodyDiv w:val="1"/>
      <w:marLeft w:val="0"/>
      <w:marRight w:val="0"/>
      <w:marTop w:val="0"/>
      <w:marBottom w:val="0"/>
      <w:divBdr>
        <w:top w:val="none" w:sz="0" w:space="0" w:color="auto"/>
        <w:left w:val="none" w:sz="0" w:space="0" w:color="auto"/>
        <w:bottom w:val="none" w:sz="0" w:space="0" w:color="auto"/>
        <w:right w:val="none" w:sz="0" w:space="0" w:color="auto"/>
      </w:divBdr>
      <w:divsChild>
        <w:div w:id="1351418403">
          <w:marLeft w:val="360"/>
          <w:marRight w:val="0"/>
          <w:marTop w:val="160"/>
          <w:marBottom w:val="0"/>
          <w:divBdr>
            <w:top w:val="none" w:sz="0" w:space="0" w:color="auto"/>
            <w:left w:val="none" w:sz="0" w:space="0" w:color="auto"/>
            <w:bottom w:val="none" w:sz="0" w:space="0" w:color="auto"/>
            <w:right w:val="none" w:sz="0" w:space="0" w:color="auto"/>
          </w:divBdr>
        </w:div>
      </w:divsChild>
    </w:div>
    <w:div w:id="2131047238">
      <w:bodyDiv w:val="1"/>
      <w:marLeft w:val="0"/>
      <w:marRight w:val="0"/>
      <w:marTop w:val="0"/>
      <w:marBottom w:val="0"/>
      <w:divBdr>
        <w:top w:val="none" w:sz="0" w:space="0" w:color="auto"/>
        <w:left w:val="none" w:sz="0" w:space="0" w:color="auto"/>
        <w:bottom w:val="none" w:sz="0" w:space="0" w:color="auto"/>
        <w:right w:val="none" w:sz="0" w:space="0" w:color="auto"/>
      </w:divBdr>
    </w:div>
    <w:div w:id="214592644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ricsson.sharepoint.com/R2-2305424.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197869F5-276E-489B-938E-CB4890C92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3241D5-94C6-4DAD-81F1-EB779CBA4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2189</TotalTime>
  <Pages>4</Pages>
  <Words>1931</Words>
  <Characters>11013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12919</CharactersWithSpaces>
  <SharedDoc>false</SharedDoc>
  <HyperlinkBase/>
  <HLinks>
    <vt:vector size="210" baseType="variant">
      <vt:variant>
        <vt:i4>8060928</vt:i4>
      </vt:variant>
      <vt:variant>
        <vt:i4>180</vt:i4>
      </vt:variant>
      <vt:variant>
        <vt:i4>0</vt:i4>
      </vt:variant>
      <vt:variant>
        <vt:i4>5</vt:i4>
      </vt:variant>
      <vt:variant>
        <vt:lpwstr>mailto:3GPPLiaison@etsi.org</vt:lpwstr>
      </vt:variant>
      <vt:variant>
        <vt:lpwstr/>
      </vt:variant>
      <vt:variant>
        <vt:i4>1114166</vt:i4>
      </vt:variant>
      <vt:variant>
        <vt:i4>176</vt:i4>
      </vt:variant>
      <vt:variant>
        <vt:i4>0</vt:i4>
      </vt:variant>
      <vt:variant>
        <vt:i4>5</vt:i4>
      </vt:variant>
      <vt:variant>
        <vt:lpwstr/>
      </vt:variant>
      <vt:variant>
        <vt:lpwstr>_Toc134717259</vt:lpwstr>
      </vt:variant>
      <vt:variant>
        <vt:i4>1114166</vt:i4>
      </vt:variant>
      <vt:variant>
        <vt:i4>173</vt:i4>
      </vt:variant>
      <vt:variant>
        <vt:i4>0</vt:i4>
      </vt:variant>
      <vt:variant>
        <vt:i4>5</vt:i4>
      </vt:variant>
      <vt:variant>
        <vt:lpwstr/>
      </vt:variant>
      <vt:variant>
        <vt:lpwstr>_Toc134717258</vt:lpwstr>
      </vt:variant>
      <vt:variant>
        <vt:i4>1114166</vt:i4>
      </vt:variant>
      <vt:variant>
        <vt:i4>170</vt:i4>
      </vt:variant>
      <vt:variant>
        <vt:i4>0</vt:i4>
      </vt:variant>
      <vt:variant>
        <vt:i4>5</vt:i4>
      </vt:variant>
      <vt:variant>
        <vt:lpwstr/>
      </vt:variant>
      <vt:variant>
        <vt:lpwstr>_Toc134717257</vt:lpwstr>
      </vt:variant>
      <vt:variant>
        <vt:i4>1114166</vt:i4>
      </vt:variant>
      <vt:variant>
        <vt:i4>167</vt:i4>
      </vt:variant>
      <vt:variant>
        <vt:i4>0</vt:i4>
      </vt:variant>
      <vt:variant>
        <vt:i4>5</vt:i4>
      </vt:variant>
      <vt:variant>
        <vt:lpwstr/>
      </vt:variant>
      <vt:variant>
        <vt:lpwstr>_Toc134717256</vt:lpwstr>
      </vt:variant>
      <vt:variant>
        <vt:i4>1114166</vt:i4>
      </vt:variant>
      <vt:variant>
        <vt:i4>164</vt:i4>
      </vt:variant>
      <vt:variant>
        <vt:i4>0</vt:i4>
      </vt:variant>
      <vt:variant>
        <vt:i4>5</vt:i4>
      </vt:variant>
      <vt:variant>
        <vt:lpwstr/>
      </vt:variant>
      <vt:variant>
        <vt:lpwstr>_Toc134717255</vt:lpwstr>
      </vt:variant>
      <vt:variant>
        <vt:i4>1114166</vt:i4>
      </vt:variant>
      <vt:variant>
        <vt:i4>161</vt:i4>
      </vt:variant>
      <vt:variant>
        <vt:i4>0</vt:i4>
      </vt:variant>
      <vt:variant>
        <vt:i4>5</vt:i4>
      </vt:variant>
      <vt:variant>
        <vt:lpwstr/>
      </vt:variant>
      <vt:variant>
        <vt:lpwstr>_Toc134717254</vt:lpwstr>
      </vt:variant>
      <vt:variant>
        <vt:i4>1114166</vt:i4>
      </vt:variant>
      <vt:variant>
        <vt:i4>158</vt:i4>
      </vt:variant>
      <vt:variant>
        <vt:i4>0</vt:i4>
      </vt:variant>
      <vt:variant>
        <vt:i4>5</vt:i4>
      </vt:variant>
      <vt:variant>
        <vt:lpwstr/>
      </vt:variant>
      <vt:variant>
        <vt:lpwstr>_Toc134717253</vt:lpwstr>
      </vt:variant>
      <vt:variant>
        <vt:i4>1114166</vt:i4>
      </vt:variant>
      <vt:variant>
        <vt:i4>155</vt:i4>
      </vt:variant>
      <vt:variant>
        <vt:i4>0</vt:i4>
      </vt:variant>
      <vt:variant>
        <vt:i4>5</vt:i4>
      </vt:variant>
      <vt:variant>
        <vt:lpwstr/>
      </vt:variant>
      <vt:variant>
        <vt:lpwstr>_Toc134717252</vt:lpwstr>
      </vt:variant>
      <vt:variant>
        <vt:i4>1114166</vt:i4>
      </vt:variant>
      <vt:variant>
        <vt:i4>152</vt:i4>
      </vt:variant>
      <vt:variant>
        <vt:i4>0</vt:i4>
      </vt:variant>
      <vt:variant>
        <vt:i4>5</vt:i4>
      </vt:variant>
      <vt:variant>
        <vt:lpwstr/>
      </vt:variant>
      <vt:variant>
        <vt:lpwstr>_Toc134717251</vt:lpwstr>
      </vt:variant>
      <vt:variant>
        <vt:i4>1114166</vt:i4>
      </vt:variant>
      <vt:variant>
        <vt:i4>149</vt:i4>
      </vt:variant>
      <vt:variant>
        <vt:i4>0</vt:i4>
      </vt:variant>
      <vt:variant>
        <vt:i4>5</vt:i4>
      </vt:variant>
      <vt:variant>
        <vt:lpwstr/>
      </vt:variant>
      <vt:variant>
        <vt:lpwstr>_Toc134717250</vt:lpwstr>
      </vt:variant>
      <vt:variant>
        <vt:i4>1048630</vt:i4>
      </vt:variant>
      <vt:variant>
        <vt:i4>146</vt:i4>
      </vt:variant>
      <vt:variant>
        <vt:i4>0</vt:i4>
      </vt:variant>
      <vt:variant>
        <vt:i4>5</vt:i4>
      </vt:variant>
      <vt:variant>
        <vt:lpwstr/>
      </vt:variant>
      <vt:variant>
        <vt:lpwstr>_Toc134717249</vt:lpwstr>
      </vt:variant>
      <vt:variant>
        <vt:i4>1048630</vt:i4>
      </vt:variant>
      <vt:variant>
        <vt:i4>143</vt:i4>
      </vt:variant>
      <vt:variant>
        <vt:i4>0</vt:i4>
      </vt:variant>
      <vt:variant>
        <vt:i4>5</vt:i4>
      </vt:variant>
      <vt:variant>
        <vt:lpwstr/>
      </vt:variant>
      <vt:variant>
        <vt:lpwstr>_Toc134717248</vt:lpwstr>
      </vt:variant>
      <vt:variant>
        <vt:i4>1048630</vt:i4>
      </vt:variant>
      <vt:variant>
        <vt:i4>140</vt:i4>
      </vt:variant>
      <vt:variant>
        <vt:i4>0</vt:i4>
      </vt:variant>
      <vt:variant>
        <vt:i4>5</vt:i4>
      </vt:variant>
      <vt:variant>
        <vt:lpwstr/>
      </vt:variant>
      <vt:variant>
        <vt:lpwstr>_Toc134717247</vt:lpwstr>
      </vt:variant>
      <vt:variant>
        <vt:i4>1048630</vt:i4>
      </vt:variant>
      <vt:variant>
        <vt:i4>137</vt:i4>
      </vt:variant>
      <vt:variant>
        <vt:i4>0</vt:i4>
      </vt:variant>
      <vt:variant>
        <vt:i4>5</vt:i4>
      </vt:variant>
      <vt:variant>
        <vt:lpwstr/>
      </vt:variant>
      <vt:variant>
        <vt:lpwstr>_Toc134717246</vt:lpwstr>
      </vt:variant>
      <vt:variant>
        <vt:i4>1048630</vt:i4>
      </vt:variant>
      <vt:variant>
        <vt:i4>134</vt:i4>
      </vt:variant>
      <vt:variant>
        <vt:i4>0</vt:i4>
      </vt:variant>
      <vt:variant>
        <vt:i4>5</vt:i4>
      </vt:variant>
      <vt:variant>
        <vt:lpwstr/>
      </vt:variant>
      <vt:variant>
        <vt:lpwstr>_Toc134717245</vt:lpwstr>
      </vt:variant>
      <vt:variant>
        <vt:i4>1048630</vt:i4>
      </vt:variant>
      <vt:variant>
        <vt:i4>131</vt:i4>
      </vt:variant>
      <vt:variant>
        <vt:i4>0</vt:i4>
      </vt:variant>
      <vt:variant>
        <vt:i4>5</vt:i4>
      </vt:variant>
      <vt:variant>
        <vt:lpwstr/>
      </vt:variant>
      <vt:variant>
        <vt:lpwstr>_Toc134717244</vt:lpwstr>
      </vt:variant>
      <vt:variant>
        <vt:i4>1048630</vt:i4>
      </vt:variant>
      <vt:variant>
        <vt:i4>128</vt:i4>
      </vt:variant>
      <vt:variant>
        <vt:i4>0</vt:i4>
      </vt:variant>
      <vt:variant>
        <vt:i4>5</vt:i4>
      </vt:variant>
      <vt:variant>
        <vt:lpwstr/>
      </vt:variant>
      <vt:variant>
        <vt:lpwstr>_Toc134717243</vt:lpwstr>
      </vt:variant>
      <vt:variant>
        <vt:i4>1048630</vt:i4>
      </vt:variant>
      <vt:variant>
        <vt:i4>125</vt:i4>
      </vt:variant>
      <vt:variant>
        <vt:i4>0</vt:i4>
      </vt:variant>
      <vt:variant>
        <vt:i4>5</vt:i4>
      </vt:variant>
      <vt:variant>
        <vt:lpwstr/>
      </vt:variant>
      <vt:variant>
        <vt:lpwstr>_Toc134717242</vt:lpwstr>
      </vt:variant>
      <vt:variant>
        <vt:i4>1048630</vt:i4>
      </vt:variant>
      <vt:variant>
        <vt:i4>122</vt:i4>
      </vt:variant>
      <vt:variant>
        <vt:i4>0</vt:i4>
      </vt:variant>
      <vt:variant>
        <vt:i4>5</vt:i4>
      </vt:variant>
      <vt:variant>
        <vt:lpwstr/>
      </vt:variant>
      <vt:variant>
        <vt:lpwstr>_Toc134717241</vt:lpwstr>
      </vt:variant>
      <vt:variant>
        <vt:i4>1048630</vt:i4>
      </vt:variant>
      <vt:variant>
        <vt:i4>119</vt:i4>
      </vt:variant>
      <vt:variant>
        <vt:i4>0</vt:i4>
      </vt:variant>
      <vt:variant>
        <vt:i4>5</vt:i4>
      </vt:variant>
      <vt:variant>
        <vt:lpwstr/>
      </vt:variant>
      <vt:variant>
        <vt:lpwstr>_Toc134717240</vt:lpwstr>
      </vt:variant>
      <vt:variant>
        <vt:i4>1507382</vt:i4>
      </vt:variant>
      <vt:variant>
        <vt:i4>116</vt:i4>
      </vt:variant>
      <vt:variant>
        <vt:i4>0</vt:i4>
      </vt:variant>
      <vt:variant>
        <vt:i4>5</vt:i4>
      </vt:variant>
      <vt:variant>
        <vt:lpwstr/>
      </vt:variant>
      <vt:variant>
        <vt:lpwstr>_Toc134717239</vt:lpwstr>
      </vt:variant>
      <vt:variant>
        <vt:i4>1507382</vt:i4>
      </vt:variant>
      <vt:variant>
        <vt:i4>113</vt:i4>
      </vt:variant>
      <vt:variant>
        <vt:i4>0</vt:i4>
      </vt:variant>
      <vt:variant>
        <vt:i4>5</vt:i4>
      </vt:variant>
      <vt:variant>
        <vt:lpwstr/>
      </vt:variant>
      <vt:variant>
        <vt:lpwstr>_Toc134717238</vt:lpwstr>
      </vt:variant>
      <vt:variant>
        <vt:i4>1507382</vt:i4>
      </vt:variant>
      <vt:variant>
        <vt:i4>110</vt:i4>
      </vt:variant>
      <vt:variant>
        <vt:i4>0</vt:i4>
      </vt:variant>
      <vt:variant>
        <vt:i4>5</vt:i4>
      </vt:variant>
      <vt:variant>
        <vt:lpwstr/>
      </vt:variant>
      <vt:variant>
        <vt:lpwstr>_Toc134717237</vt:lpwstr>
      </vt:variant>
      <vt:variant>
        <vt:i4>1507382</vt:i4>
      </vt:variant>
      <vt:variant>
        <vt:i4>107</vt:i4>
      </vt:variant>
      <vt:variant>
        <vt:i4>0</vt:i4>
      </vt:variant>
      <vt:variant>
        <vt:i4>5</vt:i4>
      </vt:variant>
      <vt:variant>
        <vt:lpwstr/>
      </vt:variant>
      <vt:variant>
        <vt:lpwstr>_Toc134717236</vt:lpwstr>
      </vt:variant>
      <vt:variant>
        <vt:i4>1507382</vt:i4>
      </vt:variant>
      <vt:variant>
        <vt:i4>104</vt:i4>
      </vt:variant>
      <vt:variant>
        <vt:i4>0</vt:i4>
      </vt:variant>
      <vt:variant>
        <vt:i4>5</vt:i4>
      </vt:variant>
      <vt:variant>
        <vt:lpwstr/>
      </vt:variant>
      <vt:variant>
        <vt:lpwstr>_Toc134717235</vt:lpwstr>
      </vt:variant>
      <vt:variant>
        <vt:i4>1507382</vt:i4>
      </vt:variant>
      <vt:variant>
        <vt:i4>101</vt:i4>
      </vt:variant>
      <vt:variant>
        <vt:i4>0</vt:i4>
      </vt:variant>
      <vt:variant>
        <vt:i4>5</vt:i4>
      </vt:variant>
      <vt:variant>
        <vt:lpwstr/>
      </vt:variant>
      <vt:variant>
        <vt:lpwstr>_Toc134717234</vt:lpwstr>
      </vt:variant>
      <vt:variant>
        <vt:i4>1507382</vt:i4>
      </vt:variant>
      <vt:variant>
        <vt:i4>98</vt:i4>
      </vt:variant>
      <vt:variant>
        <vt:i4>0</vt:i4>
      </vt:variant>
      <vt:variant>
        <vt:i4>5</vt:i4>
      </vt:variant>
      <vt:variant>
        <vt:lpwstr/>
      </vt:variant>
      <vt:variant>
        <vt:lpwstr>_Toc134717233</vt:lpwstr>
      </vt:variant>
      <vt:variant>
        <vt:i4>1507382</vt:i4>
      </vt:variant>
      <vt:variant>
        <vt:i4>92</vt:i4>
      </vt:variant>
      <vt:variant>
        <vt:i4>0</vt:i4>
      </vt:variant>
      <vt:variant>
        <vt:i4>5</vt:i4>
      </vt:variant>
      <vt:variant>
        <vt:lpwstr/>
      </vt:variant>
      <vt:variant>
        <vt:lpwstr>_Toc134717232</vt:lpwstr>
      </vt:variant>
      <vt:variant>
        <vt:i4>1507382</vt:i4>
      </vt:variant>
      <vt:variant>
        <vt:i4>89</vt:i4>
      </vt:variant>
      <vt:variant>
        <vt:i4>0</vt:i4>
      </vt:variant>
      <vt:variant>
        <vt:i4>5</vt:i4>
      </vt:variant>
      <vt:variant>
        <vt:lpwstr/>
      </vt:variant>
      <vt:variant>
        <vt:lpwstr>_Toc134717231</vt:lpwstr>
      </vt:variant>
      <vt:variant>
        <vt:i4>1507382</vt:i4>
      </vt:variant>
      <vt:variant>
        <vt:i4>86</vt:i4>
      </vt:variant>
      <vt:variant>
        <vt:i4>0</vt:i4>
      </vt:variant>
      <vt:variant>
        <vt:i4>5</vt:i4>
      </vt:variant>
      <vt:variant>
        <vt:lpwstr/>
      </vt:variant>
      <vt:variant>
        <vt:lpwstr>_Toc134717230</vt:lpwstr>
      </vt:variant>
      <vt:variant>
        <vt:i4>1441846</vt:i4>
      </vt:variant>
      <vt:variant>
        <vt:i4>83</vt:i4>
      </vt:variant>
      <vt:variant>
        <vt:i4>0</vt:i4>
      </vt:variant>
      <vt:variant>
        <vt:i4>5</vt:i4>
      </vt:variant>
      <vt:variant>
        <vt:lpwstr/>
      </vt:variant>
      <vt:variant>
        <vt:lpwstr>_Toc134717229</vt:lpwstr>
      </vt:variant>
      <vt:variant>
        <vt:i4>1441846</vt:i4>
      </vt:variant>
      <vt:variant>
        <vt:i4>80</vt:i4>
      </vt:variant>
      <vt:variant>
        <vt:i4>0</vt:i4>
      </vt:variant>
      <vt:variant>
        <vt:i4>5</vt:i4>
      </vt:variant>
      <vt:variant>
        <vt:lpwstr/>
      </vt:variant>
      <vt:variant>
        <vt:lpwstr>_Toc134717228</vt:lpwstr>
      </vt:variant>
      <vt:variant>
        <vt:i4>1441846</vt:i4>
      </vt:variant>
      <vt:variant>
        <vt:i4>77</vt:i4>
      </vt:variant>
      <vt:variant>
        <vt:i4>0</vt:i4>
      </vt:variant>
      <vt:variant>
        <vt:i4>5</vt:i4>
      </vt:variant>
      <vt:variant>
        <vt:lpwstr/>
      </vt:variant>
      <vt:variant>
        <vt:lpwstr>_Toc134717227</vt:lpwstr>
      </vt:variant>
      <vt:variant>
        <vt:i4>1441846</vt:i4>
      </vt:variant>
      <vt:variant>
        <vt:i4>74</vt:i4>
      </vt:variant>
      <vt:variant>
        <vt:i4>0</vt:i4>
      </vt:variant>
      <vt:variant>
        <vt:i4>5</vt:i4>
      </vt:variant>
      <vt:variant>
        <vt:lpwstr/>
      </vt:variant>
      <vt:variant>
        <vt:lpwstr>_Toc134717226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(Rapporteur)</cp:lastModifiedBy>
  <cp:revision>619</cp:revision>
  <cp:lastPrinted>2008-02-02T13:09:00Z</cp:lastPrinted>
  <dcterms:created xsi:type="dcterms:W3CDTF">2023-03-22T22:52:00Z</dcterms:created>
  <dcterms:modified xsi:type="dcterms:W3CDTF">2023-09-29T08:43:00Z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